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3E" w:rsidRPr="0040131D" w:rsidRDefault="00D9443E" w:rsidP="00D9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bookmarkStart w:id="0" w:name="OLE_LINK218"/>
      <w:bookmarkStart w:id="1" w:name="OLE_LINK219"/>
      <w:bookmarkStart w:id="2" w:name="OLE_LINK244"/>
      <w:r w:rsidRPr="00D94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ΦΥΛΛΟ ΣΥΜΜΟΡΦΩΣΗΣ ΥΛΙΚΩΝ ΚΑΤΑΣΒΕΣΗΣ, ΠΥΡΑΝΙΧΝΕΥΣΗΣ, </w:t>
      </w:r>
    </w:p>
    <w:p w:rsidR="00D9443E" w:rsidRPr="00D9443E" w:rsidRDefault="00D9443E" w:rsidP="00D9443E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el-GR"/>
        </w:rPr>
      </w:pPr>
      <w:r w:rsidRPr="00D94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ΧΕΙΡΟΚΙΝΗΤΗΣ ΑΝΑΓΓΕΛΙΑΣ ΚΑΙ ΣΥΝΑΓΕΡΜΟΥ</w:t>
      </w:r>
    </w:p>
    <w:p w:rsidR="00D9443E" w:rsidRPr="00D9443E" w:rsidRDefault="00D9443E" w:rsidP="00D9443E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el-GR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580"/>
        <w:gridCol w:w="3639"/>
        <w:gridCol w:w="992"/>
        <w:gridCol w:w="1701"/>
        <w:gridCol w:w="1418"/>
        <w:gridCol w:w="1417"/>
        <w:gridCol w:w="1560"/>
        <w:gridCol w:w="1559"/>
        <w:gridCol w:w="1559"/>
      </w:tblGrid>
      <w:tr w:rsidR="00D9443E" w:rsidRPr="00D9443E" w:rsidTr="00DC7DF9">
        <w:trPr>
          <w:trHeight w:val="6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α/α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Περιγραφή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Τμχ</w:t>
            </w:r>
            <w:proofErr w:type="spellEnd"/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Προτεινόμενος Τύπος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US" w:eastAsia="el-GR"/>
              </w:rPr>
            </w:pPr>
            <w:proofErr w:type="spellStart"/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CE</w:t>
            </w:r>
            <w:proofErr w:type="spellEnd"/>
            <w:r>
              <w:rPr>
                <w:rFonts w:ascii="Calibri" w:eastAsia="Times New Roman" w:hAnsi="Calibri" w:cs="Arial"/>
                <w:b/>
                <w:bCs/>
                <w:lang w:val="en-US" w:eastAsia="el-GR"/>
              </w:rPr>
              <w:t xml:space="preserve"> </w:t>
            </w: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απάντηση- παραπομπή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l-GR"/>
              </w:rPr>
            </w:pPr>
            <w:bookmarkStart w:id="3" w:name="OLE_LINK119"/>
            <w:bookmarkStart w:id="4" w:name="OLE_LINK120"/>
            <w:bookmarkStart w:id="5" w:name="OLE_LINK208"/>
            <w:bookmarkStart w:id="6" w:name="OLE_LINK209"/>
            <w:bookmarkStart w:id="7" w:name="OLE_LINK210"/>
            <w:bookmarkStart w:id="8" w:name="OLE_LINK211"/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ΕΛΟΤ ΕΝ</w:t>
            </w:r>
            <w:bookmarkEnd w:id="3"/>
            <w:bookmarkEnd w:id="4"/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 xml:space="preserve"> απαίτηση/ απάντηση- παραπομπή</w:t>
            </w:r>
            <w:bookmarkEnd w:id="5"/>
            <w:bookmarkEnd w:id="6"/>
            <w:bookmarkEnd w:id="7"/>
            <w:bookmarkEnd w:id="8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443E" w:rsidRPr="00F531B3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l-GR"/>
              </w:rPr>
              <w:t>ISO 9001</w:t>
            </w:r>
            <w:r w:rsidR="00F531B3"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 xml:space="preserve"> κατασκευαστή</w:t>
            </w:r>
            <w:r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bookmarkStart w:id="9" w:name="OLE_LINK216"/>
            <w:bookmarkStart w:id="10" w:name="OLE_LINK217"/>
            <w:r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απάντηση- παραπομπή</w:t>
            </w:r>
            <w:bookmarkEnd w:id="9"/>
            <w:bookmarkEnd w:id="10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443E" w:rsidRPr="00F531B3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l-GR"/>
              </w:rPr>
              <w:t>ISO 14001</w:t>
            </w:r>
            <w:r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 xml:space="preserve">κατασκευαστή </w:t>
            </w:r>
            <w:r w:rsidRPr="00F531B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απάντηση- παραπομπή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Απαιτούμενη Εγγύηση/ απάντηση- παραπομπή</w:t>
            </w:r>
          </w:p>
        </w:tc>
      </w:tr>
      <w:tr w:rsidR="00D9443E" w:rsidRPr="00D9443E" w:rsidTr="00DC7DF9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bookmarkStart w:id="11" w:name="_Hlk482138403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Πίνακας 3 ζωνών ανίχνευσης και 1 εντολής κατάσβεσης, με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μπουτόν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κατάσβεσης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συμβατικός 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(σύστημα κατάσβεσης)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bookmarkStart w:id="12" w:name="OLE_LINK121"/>
            <w:bookmarkStart w:id="13" w:name="OLE_LINK122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54.2-4</w:t>
            </w:r>
            <w:bookmarkEnd w:id="12"/>
            <w:bookmarkEnd w:id="13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&amp; 12094-1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bookmarkStart w:id="14" w:name="OLE_LINK127"/>
            <w:bookmarkStart w:id="15" w:name="OLE_LINK128"/>
            <w:bookmarkStart w:id="16" w:name="OLE_LINK147"/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  <w:bookmarkEnd w:id="14"/>
            <w:bookmarkEnd w:id="15"/>
            <w:bookmarkEnd w:id="16"/>
          </w:p>
        </w:tc>
      </w:tr>
      <w:bookmarkEnd w:id="11"/>
      <w:tr w:rsidR="00D9443E" w:rsidRPr="00D9443E" w:rsidTr="00DC7DF9">
        <w:trPr>
          <w:trHeight w:val="417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9443E" w:rsidRPr="00D9443E" w:rsidTr="00DC7DF9">
        <w:trPr>
          <w:trHeight w:val="214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C7DF9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Ανιχνευτής καπνού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συμβατικός</w:t>
            </w: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φωτοηλ</w:t>
            </w:r>
            <w:proofErr w:type="spellEnd"/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/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κτ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ρον</w:t>
            </w: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ικός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bookmarkStart w:id="17" w:name="OLE_LINK163"/>
            <w:bookmarkStart w:id="18" w:name="OLE_LINK176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με τη βάση του</w:t>
            </w:r>
            <w:bookmarkEnd w:id="17"/>
            <w:bookmarkEnd w:id="18"/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(σύστημα κατάσβεσης)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bookmarkStart w:id="19" w:name="OLE_LINK148"/>
            <w:bookmarkStart w:id="20" w:name="OLE_LINK149"/>
            <w:bookmarkStart w:id="21" w:name="OLE_LINK162"/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  <w:bookmarkEnd w:id="19"/>
            <w:bookmarkEnd w:id="20"/>
            <w:bookmarkEnd w:id="21"/>
          </w:p>
        </w:tc>
      </w:tr>
      <w:tr w:rsidR="00D9443E" w:rsidRPr="00D9443E" w:rsidTr="00DC7DF9">
        <w:trPr>
          <w:trHeight w:val="252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D9443E" w:rsidRPr="00D9443E" w:rsidTr="00DC7DF9">
        <w:trPr>
          <w:trHeight w:val="324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bookmarkStart w:id="22" w:name="_Hlk482138173"/>
            <w:bookmarkStart w:id="23" w:name="_Hlk482137742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Ανιχνευτής 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συμβατικός</w:t>
            </w:r>
            <w:r w:rsidR="00DC7DF9"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θερμοδιαφορικός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με τη βάση του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(σύστημα κατάσβεσης)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</w:p>
        </w:tc>
      </w:tr>
      <w:bookmarkEnd w:id="22"/>
      <w:tr w:rsidR="00D9443E" w:rsidRPr="00D9443E" w:rsidTr="00DC7DF9">
        <w:trPr>
          <w:trHeight w:val="288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el-GR"/>
              </w:rPr>
            </w:pPr>
          </w:p>
        </w:tc>
      </w:tr>
      <w:bookmarkEnd w:id="23"/>
      <w:tr w:rsidR="00D9443E" w:rsidRPr="00D9443E" w:rsidTr="00DC7DF9">
        <w:trPr>
          <w:trHeight w:val="348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9443E" w:rsidRPr="00D9443E" w:rsidRDefault="00D9443E" w:rsidP="00DC7DF9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Μπουτόν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συναγερμού 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συμβατικό</w:t>
            </w:r>
            <w:r w:rsidR="00DC7DF9"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πυρκαγιάς κόκκινο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επίτοιχο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με αντίσταση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470Ohm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, συμβατικού τύπου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54.11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lang w:eastAsia="el-GR"/>
              </w:rPr>
              <w:t>2 έτη</w:t>
            </w:r>
          </w:p>
        </w:tc>
      </w:tr>
      <w:tr w:rsidR="00D9443E" w:rsidRPr="00D9443E" w:rsidTr="00DC7DF9">
        <w:trPr>
          <w:trHeight w:val="384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9443E" w:rsidRPr="00D9443E" w:rsidTr="00DC7DF9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bookmarkStart w:id="24" w:name="_Hlk482137819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Κλειδοδιακόπτης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ακύρωσης εντολής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συμβατικός 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(σύστημα κατάσβεσης)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54.11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</w:p>
        </w:tc>
      </w:tr>
      <w:bookmarkEnd w:id="24"/>
      <w:tr w:rsidR="00D9443E" w:rsidRPr="00D9443E" w:rsidTr="00DC7DF9">
        <w:trPr>
          <w:trHeight w:val="312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9443E" w:rsidRPr="00D9443E" w:rsidTr="00DC7DF9">
        <w:trPr>
          <w:trHeight w:val="216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C7DF9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Μπουτόν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κατάκλυσης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 </w:t>
            </w:r>
            <w:r w:rsid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συμβατικό 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(σύστημα κατάσβεσης)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54.11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bookmarkStart w:id="25" w:name="OLE_LINK182"/>
            <w:bookmarkStart w:id="26" w:name="OLE_LINK189"/>
            <w:bookmarkStart w:id="27" w:name="OLE_LINK190"/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  <w:bookmarkEnd w:id="25"/>
            <w:bookmarkEnd w:id="26"/>
            <w:bookmarkEnd w:id="27"/>
          </w:p>
        </w:tc>
      </w:tr>
      <w:tr w:rsidR="00D9443E" w:rsidRPr="00D9443E" w:rsidTr="00DC7DF9">
        <w:trPr>
          <w:trHeight w:val="264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 </w:t>
            </w:r>
          </w:p>
        </w:tc>
      </w:tr>
      <w:tr w:rsidR="00D9443E" w:rsidRPr="00D9443E" w:rsidTr="00DC7DF9">
        <w:trPr>
          <w:trHeight w:val="276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Κουδούνι συναγερμού 6",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24VDC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(σύστημα κατάσβεσης)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</w:p>
        </w:tc>
      </w:tr>
      <w:tr w:rsidR="00D9443E" w:rsidRPr="00D9443E" w:rsidTr="00DC7DF9">
        <w:trPr>
          <w:trHeight w:val="336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9443E" w:rsidRPr="00D9443E" w:rsidTr="00DC7DF9">
        <w:trPr>
          <w:trHeight w:val="288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bookmarkStart w:id="28" w:name="_Hlk482137331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Φαροσειρήνα</w:t>
            </w:r>
            <w:proofErr w:type="spellEnd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, κόκκινη, με βάση </w:t>
            </w:r>
            <w:proofErr w:type="spellStart"/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ΙΡ65</w:t>
            </w:r>
            <w:proofErr w:type="spellEnd"/>
            <w:r w:rsidR="0040131D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(και σύστημα κατάσβεσης)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40131D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="00D9443E"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</w:p>
        </w:tc>
      </w:tr>
      <w:tr w:rsidR="00D9443E" w:rsidRPr="00D9443E" w:rsidTr="00DC7DF9">
        <w:trPr>
          <w:trHeight w:val="324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9443E" w:rsidRPr="00D9443E" w:rsidTr="00DC7DF9">
        <w:trPr>
          <w:trHeight w:val="43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443E" w:rsidRPr="00D9443E" w:rsidRDefault="00F531B3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6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Πίνακας συμβατικού τύπου 4 ζωνών ανίχνευσης, επεκτάσιμος στις 20 με την κάρτα επέκτασης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54.2-4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 w:rsidRPr="00D9443E">
              <w:rPr>
                <w:rFonts w:ascii="Calibri" w:eastAsia="Times New Roman" w:hAnsi="Calibri" w:cs="Arial"/>
                <w:lang w:eastAsia="el-GR"/>
              </w:rPr>
              <w:t>2 έτη</w:t>
            </w:r>
          </w:p>
        </w:tc>
      </w:tr>
      <w:tr w:rsidR="00D9443E" w:rsidRPr="00D9443E" w:rsidTr="00DC7DF9">
        <w:trPr>
          <w:trHeight w:val="377"/>
        </w:trPr>
        <w:tc>
          <w:tcPr>
            <w:tcW w:w="5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6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443E" w:rsidRPr="00D9443E" w:rsidRDefault="00D9443E" w:rsidP="00D9443E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F531B3" w:rsidRPr="00D9443E" w:rsidTr="00DC7DF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bookmarkStart w:id="29" w:name="OLE_LINK267"/>
            <w:bookmarkStart w:id="30" w:name="OLE_LINK268"/>
            <w:bookmarkStart w:id="31" w:name="OLE_LINK269"/>
            <w:bookmarkEnd w:id="0"/>
            <w:bookmarkEnd w:id="1"/>
            <w:bookmarkEnd w:id="2"/>
            <w:bookmarkEnd w:id="28"/>
            <w:r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1B3" w:rsidRPr="00DC7DF9" w:rsidRDefault="00F531B3" w:rsidP="00F531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Γεννήτρια </w:t>
            </w:r>
            <w:proofErr w:type="spellStart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aerosol</w:t>
            </w:r>
            <w:proofErr w:type="spellEnd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3000gr</w:t>
            </w:r>
            <w:proofErr w:type="spellEnd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, ενεργοποίησης Η/Θ/Α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1B3" w:rsidRPr="00737663" w:rsidRDefault="00F531B3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3766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1B3" w:rsidRPr="00D9443E" w:rsidRDefault="00F531B3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531B3" w:rsidRPr="00D9443E" w:rsidRDefault="00F531B3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</w:p>
        </w:tc>
      </w:tr>
      <w:tr w:rsidR="00F531B3" w:rsidRPr="00D9443E" w:rsidTr="00DC7DF9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1B3" w:rsidRPr="00DC7DF9" w:rsidRDefault="00F531B3" w:rsidP="00F531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Γεννήτρια </w:t>
            </w:r>
            <w:proofErr w:type="spellStart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aerosol</w:t>
            </w:r>
            <w:proofErr w:type="spellEnd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2000gr</w:t>
            </w:r>
            <w:proofErr w:type="spellEnd"/>
            <w:r w:rsidRPr="00DC7DF9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 xml:space="preserve">, ενεργοποίησης Η/Θ/Α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1B3" w:rsidRPr="00737663" w:rsidRDefault="00F531B3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37663">
              <w:rPr>
                <w:rFonts w:ascii="Calibri" w:eastAsia="Times New Roman" w:hAnsi="Calibri" w:cs="Arial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1B3" w:rsidRPr="00D9443E" w:rsidRDefault="00F531B3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531B3" w:rsidRPr="00D9443E" w:rsidRDefault="00F531B3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531B3" w:rsidRPr="00D9443E" w:rsidRDefault="00F531B3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5</w:t>
            </w:r>
            <w:r w:rsidRPr="00D9443E">
              <w:rPr>
                <w:rFonts w:ascii="Calibri" w:eastAsia="Times New Roman" w:hAnsi="Calibri" w:cs="Arial"/>
                <w:lang w:eastAsia="el-GR"/>
              </w:rPr>
              <w:t xml:space="preserve"> έτη</w:t>
            </w:r>
          </w:p>
        </w:tc>
      </w:tr>
    </w:tbl>
    <w:p w:rsidR="00DE2DD9" w:rsidRDefault="00DE2DD9" w:rsidP="0079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DE2DD9" w:rsidRDefault="00DE2DD9" w:rsidP="0079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DE2DD9" w:rsidRDefault="00DE2DD9" w:rsidP="0079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DE2DD9" w:rsidRDefault="00DE2DD9" w:rsidP="0079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DE2DD9" w:rsidRDefault="00DE2DD9" w:rsidP="0079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bookmarkEnd w:id="29"/>
    <w:bookmarkEnd w:id="30"/>
    <w:bookmarkEnd w:id="31"/>
    <w:p w:rsidR="00D16CD0" w:rsidRDefault="00D16CD0" w:rsidP="0003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D94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lastRenderedPageBreak/>
        <w:t xml:space="preserve">ΦΥΛΛΟ ΣΥΜΜΟΡΦΩΣΗΣ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ΣΥΣΤΗΜΑΤΟΣ ΚΑΤΑΣΒΕΣΗΣ – ΟΛΙΚΗΣ ΚΑΤΑΚΛΙΣΗΣ ΜΕ ΑΕΡΟΖΟΛ</w:t>
      </w:r>
      <w:r w:rsidR="00036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-ΕΝΤΥΠΟ Α</w:t>
      </w:r>
    </w:p>
    <w:p w:rsidR="00B8577A" w:rsidRPr="00D9443E" w:rsidRDefault="00B8577A" w:rsidP="00D16CD0">
      <w:pPr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el-GR"/>
        </w:rPr>
      </w:pPr>
    </w:p>
    <w:tbl>
      <w:tblPr>
        <w:tblW w:w="14385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788"/>
        <w:gridCol w:w="1417"/>
        <w:gridCol w:w="2835"/>
        <w:gridCol w:w="1701"/>
      </w:tblGrid>
      <w:tr w:rsidR="000253E2" w:rsidRPr="00D9443E" w:rsidTr="00DE2DD9">
        <w:trPr>
          <w:trHeight w:val="30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53E2" w:rsidRPr="00D9443E" w:rsidRDefault="000253E2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α/α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:rsidR="000253E2" w:rsidRPr="00D9443E" w:rsidRDefault="000253E2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b/>
                <w:bCs/>
                <w:lang w:eastAsia="el-GR"/>
              </w:rPr>
              <w:t>ΑΠΑΙΤΗΣΗ</w:t>
            </w:r>
          </w:p>
        </w:tc>
        <w:tc>
          <w:tcPr>
            <w:tcW w:w="97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253E2" w:rsidRPr="00D9443E" w:rsidRDefault="000253E2" w:rsidP="000253E2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Προτεινόμενος Τύπος</w:t>
            </w:r>
            <w:r>
              <w:rPr>
                <w:rFonts w:ascii="Calibri" w:eastAsia="Times New Roman" w:hAnsi="Calibri" w:cs="Arial"/>
                <w:b/>
                <w:bCs/>
                <w:lang w:eastAsia="el-GR"/>
              </w:rPr>
              <w:t xml:space="preserve"> :</w:t>
            </w:r>
          </w:p>
        </w:tc>
      </w:tr>
      <w:tr w:rsidR="000253E2" w:rsidRPr="00D9443E" w:rsidTr="00DE2DD9">
        <w:trPr>
          <w:trHeight w:val="312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53E2" w:rsidRPr="00D9443E" w:rsidRDefault="000253E2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l-GR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53E2" w:rsidRDefault="000253E2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l-GR"/>
              </w:rPr>
            </w:pPr>
          </w:p>
        </w:tc>
        <w:tc>
          <w:tcPr>
            <w:tcW w:w="9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53E2" w:rsidRPr="00D9443E" w:rsidRDefault="000253E2" w:rsidP="000253E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l-GR"/>
              </w:rPr>
            </w:pP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Απάντηση</w:t>
            </w:r>
            <w:r>
              <w:rPr>
                <w:rFonts w:ascii="Calibri" w:eastAsia="Times New Roman" w:hAnsi="Calibri" w:cs="Arial"/>
                <w:b/>
                <w:bCs/>
                <w:lang w:eastAsia="el-GR"/>
              </w:rPr>
              <w:t xml:space="preserve"> </w:t>
            </w:r>
            <w:r w:rsidRPr="00D9443E">
              <w:rPr>
                <w:rFonts w:ascii="Calibri" w:eastAsia="Times New Roman" w:hAnsi="Calibri" w:cs="Arial"/>
                <w:b/>
                <w:bCs/>
                <w:lang w:eastAsia="el-GR"/>
              </w:rPr>
              <w:t>- παραπομπή</w:t>
            </w:r>
          </w:p>
        </w:tc>
      </w:tr>
      <w:tr w:rsidR="00D16CD0" w:rsidRPr="00D9443E" w:rsidTr="00DE2DD9">
        <w:trPr>
          <w:trHeight w:val="37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6CD0" w:rsidRPr="00B8577A" w:rsidRDefault="00D16CD0" w:rsidP="000253E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Έγκριση αρμόδιου φορέα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D16CD0" w:rsidRPr="00D9443E" w:rsidRDefault="00D16CD0" w:rsidP="00D16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D16CD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49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6CD0" w:rsidRPr="00B8577A" w:rsidRDefault="00D16CD0" w:rsidP="000253E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ISO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9001 κατασκευαστή απάντηση- παραπομπή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6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6CD0" w:rsidRPr="00B8577A" w:rsidRDefault="00D16CD0" w:rsidP="000253E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ISO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14001 κατασκευαστή απάντηση- παραπομπή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16CD0" w:rsidRPr="00B8577A" w:rsidRDefault="00D16CD0" w:rsidP="00256CE9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Απαιτούμενη Εγγύηση καλής λειτουργίας προϊόντων 5 ετών / απάντηση- παραπομπή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346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6CD0" w:rsidRPr="00B8577A" w:rsidRDefault="00D16CD0" w:rsidP="000253E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CE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αεροζόλ απάντηση- παραπομπή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28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6CD0" w:rsidRPr="00B8577A" w:rsidRDefault="00D16CD0" w:rsidP="000253E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Πιστοποίηση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GREEN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LABEL</w:t>
            </w:r>
            <w:proofErr w:type="spellEnd"/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D16CD0" w:rsidRPr="00B8577A" w:rsidRDefault="00D16CD0" w:rsidP="00DE2DD9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Πιστοποίηση διεθνούς οργανισμού  για 15 έτη διάρκειας ζωής του πυρ. υλικού</w:t>
            </w:r>
          </w:p>
        </w:tc>
        <w:tc>
          <w:tcPr>
            <w:tcW w:w="5205" w:type="dxa"/>
            <w:gridSpan w:val="2"/>
            <w:vMerge w:val="restart"/>
            <w:tcBorders>
              <w:top w:val="single" w:sz="4" w:space="0" w:color="auto"/>
              <w:left w:val="nil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261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6CD0" w:rsidRPr="00B8577A" w:rsidRDefault="00D16CD0" w:rsidP="00E26E7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5205" w:type="dxa"/>
            <w:gridSpan w:val="2"/>
            <w:vMerge/>
            <w:tcBorders>
              <w:left w:val="nil"/>
              <w:bottom w:val="single" w:sz="8" w:space="0" w:color="auto"/>
            </w:tcBorders>
            <w:noWrap/>
            <w:vAlign w:val="bottom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16CD0" w:rsidRPr="00D9443E" w:rsidTr="00DE2DD9">
        <w:trPr>
          <w:trHeight w:val="6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D9443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6CD0" w:rsidRPr="00B8577A" w:rsidRDefault="00DE2DD9" w:rsidP="00DE2DD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Πιστοποίηση από διεθνή εργαστήρια για την μη επίδραση του σε ηλεκτρικά ή ηλεκτρονικά εξαρτήματα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16CD0" w:rsidRPr="00D9443E" w:rsidRDefault="00D16CD0" w:rsidP="00E26E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6CD0" w:rsidRPr="00D9443E" w:rsidRDefault="00D16CD0" w:rsidP="00E26E7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E2DD9" w:rsidRPr="00D9443E" w:rsidTr="00DE2DD9">
        <w:trPr>
          <w:trHeight w:val="6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2DD9" w:rsidRPr="00D9443E" w:rsidRDefault="00DE2DD9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DD9" w:rsidRPr="00B8577A" w:rsidRDefault="00DE2DD9" w:rsidP="00DE2DD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Πιστοποίηση από διεθνείς οργανισμούς όπως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UL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ULC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BSI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KIWA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, κ.ά., οι οποίοι πιστοποιούν ότι τα προϊόντα και τα εξαρτήματα τους είναι σύμφωνα με τις υπάρχουσες διεθνής προδιαγραφές για πυροσβεστικό υλικό τύπου αεροζόλ, όπως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CEN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TR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15276,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ISO15779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BRL-K23001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/3,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NFPA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2010, </w:t>
            </w:r>
            <w:proofErr w:type="spellStart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UL</w:t>
            </w:r>
            <w:proofErr w:type="spellEnd"/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2775 κ.α.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E2DD9" w:rsidRPr="00D9443E" w:rsidRDefault="00DE2DD9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E2DD9" w:rsidRPr="00D9443E" w:rsidRDefault="00DE2DD9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E2DD9" w:rsidRPr="00D9443E" w:rsidRDefault="00DE2DD9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E2DD9" w:rsidRPr="00D9443E" w:rsidTr="00DE2DD9">
        <w:trPr>
          <w:trHeight w:val="6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2DD9" w:rsidRPr="00D9443E" w:rsidRDefault="00DE2DD9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DD9" w:rsidRPr="00B8577A" w:rsidRDefault="00DE2DD9" w:rsidP="00DE2DD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Το στέρεο υλικό πυρόσβεσης να μην είναι πυροτεχνικό </w:t>
            </w:r>
            <w:r w:rsidR="00B8577A"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με αναφορά</w:t>
            </w:r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στο Τεχνικό Φυλλάδιο Ασφάλειας Υλικών, (</w:t>
            </w:r>
            <w:proofErr w:type="spellStart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Material</w:t>
            </w:r>
            <w:proofErr w:type="spellEnd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Safety</w:t>
            </w:r>
            <w:proofErr w:type="spellEnd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Data</w:t>
            </w:r>
            <w:proofErr w:type="spellEnd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Sheet</w:t>
            </w:r>
            <w:proofErr w:type="spellEnd"/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) </w:t>
            </w:r>
            <w:r w:rsidR="00B8577A"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του </w:t>
            </w:r>
            <w:r w:rsidR="00B8577A"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κατασκευαστή.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E2DD9" w:rsidRPr="00D9443E" w:rsidRDefault="00DE2DD9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E2DD9" w:rsidRPr="00DE2DD9" w:rsidRDefault="00DE2DD9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E2DD9" w:rsidRPr="00D9443E" w:rsidRDefault="00DE2DD9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  <w:tr w:rsidR="00DE2DD9" w:rsidRPr="00D9443E" w:rsidTr="00684F1D">
        <w:trPr>
          <w:trHeight w:val="6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E2DD9" w:rsidRPr="00D9443E" w:rsidRDefault="00DE2DD9" w:rsidP="00DE2DD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2DD9" w:rsidRPr="00B8577A" w:rsidRDefault="00DE2DD9" w:rsidP="00B8577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Τα συστατικά του αεροζόλ να μην περιέχουν υλικά πυροτεχνικά όπως νίτρο-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γουανιδίνη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, νίτρο-κυτταρίνη, 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κύανο-γουανιδίνη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και 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δικυανοδιαμίδη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, τόσο στην χημική σύσταση του αεροζόλ, όσο και στο ψυκτικό του υλικό με αποτέλεσμα να μη υπάρχει ρίσκο έκρηξης</w:t>
            </w:r>
            <w:r w:rsidR="00B8577A"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με αναφορά</w:t>
            </w:r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στο Τεχνικό Φυλλάδιο Ασφάλειας Υλικών, 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MSDS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Material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Safety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Data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Sheet</w:t>
            </w:r>
            <w:proofErr w:type="spellEnd"/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) </w:t>
            </w:r>
            <w:r w:rsidR="00B8577A" w:rsidRPr="00B8577A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του </w:t>
            </w:r>
            <w:r w:rsidRPr="00DE2DD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κατασκευαστή.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E2DD9" w:rsidRPr="00D9443E" w:rsidRDefault="00DE2DD9" w:rsidP="00684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E2DD9" w:rsidRPr="00DE2DD9" w:rsidRDefault="00DE2DD9" w:rsidP="00684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E2DD9" w:rsidRPr="00D9443E" w:rsidRDefault="00DE2DD9" w:rsidP="00684F1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el-GR"/>
              </w:rPr>
            </w:pPr>
          </w:p>
        </w:tc>
      </w:tr>
    </w:tbl>
    <w:p w:rsidR="006B5276" w:rsidRDefault="006B5276" w:rsidP="00DE2DD9"/>
    <w:p w:rsidR="00690F18" w:rsidRDefault="00690F18" w:rsidP="0003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90F18" w:rsidRDefault="00690F18" w:rsidP="0003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036AD9" w:rsidRDefault="00036AD9" w:rsidP="0003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D94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lastRenderedPageBreak/>
        <w:t xml:space="preserve">ΦΥΛΛΟ ΣΥΜΜΟΡΦΩΣΗΣ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ΣΥΣΤΗΜΑΤΟΣ ΚΑΤΑΣΒΕΣΗΣ – ΟΛΙΚΗΣ ΚΑΤΑΚΛΙΣΗΣ ΜΕ ΑΕΡΟΖΟΛ-ΕΝΤΥΠΟ </w:t>
      </w:r>
      <w:r w:rsidR="00A44A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Β</w:t>
      </w:r>
    </w:p>
    <w:p w:rsidR="00A44AF6" w:rsidRPr="00A44AF6" w:rsidRDefault="00A44AF6" w:rsidP="00A44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Απαραίτητα </w:t>
      </w:r>
      <w:r w:rsidRPr="00A44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Τεχνικά Χαρακτηριστικά του Πυροσβεστικού Συστήματος Αεροζόλ</w:t>
      </w:r>
    </w:p>
    <w:p w:rsidR="00A44AF6" w:rsidRDefault="00A44AF6" w:rsidP="0003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19"/>
        <w:gridCol w:w="7371"/>
        <w:gridCol w:w="4394"/>
      </w:tblGrid>
      <w:tr w:rsidR="00497090" w:rsidRPr="00497090" w:rsidTr="00A44AF6">
        <w:tc>
          <w:tcPr>
            <w:tcW w:w="567" w:type="dxa"/>
          </w:tcPr>
          <w:p w:rsidR="00497090" w:rsidRPr="00497090" w:rsidRDefault="00497090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3119" w:type="dxa"/>
          </w:tcPr>
          <w:p w:rsidR="00497090" w:rsidRPr="00497090" w:rsidRDefault="00497090" w:rsidP="00F53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Περιγραφή </w:t>
            </w:r>
          </w:p>
        </w:tc>
        <w:tc>
          <w:tcPr>
            <w:tcW w:w="7371" w:type="dxa"/>
          </w:tcPr>
          <w:p w:rsidR="00497090" w:rsidRPr="00497090" w:rsidRDefault="00497090" w:rsidP="0049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Απαίτηση</w:t>
            </w:r>
          </w:p>
        </w:tc>
        <w:tc>
          <w:tcPr>
            <w:tcW w:w="4394" w:type="dxa"/>
          </w:tcPr>
          <w:p w:rsidR="00497090" w:rsidRPr="00497090" w:rsidRDefault="00497090" w:rsidP="0049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7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Απάντηση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497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παραπομπή</w:t>
            </w:r>
          </w:p>
        </w:tc>
      </w:tr>
      <w:tr w:rsidR="00A44AF6" w:rsidRPr="00F531B3" w:rsidTr="00A44AF6"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Διάρκεια χρόνου εκκένωσης Αεροζόλ             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Περίπου από 3 δευτερόλεπτα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497090">
        <w:trPr>
          <w:trHeight w:val="2835"/>
        </w:trPr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Βασική τιμή συγκέντρωσης κατασβεστικού </w:t>
            </w:r>
          </w:p>
          <w:p w:rsidR="00A44AF6" w:rsidRPr="00F531B3" w:rsidRDefault="00A44AF6" w:rsidP="00A44A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υλικού ανά κυβικό μέτρο (εξαρτάται από την κατηγόρια της φωτιάς)                           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Σύμφωνα με την ευρωπαϊκή πιστοποίηση και αναλόγως της κλάσης φωτιάς απαιτούνται οι παρακάτω ποσότητες κατασβεστικού υλικού Αεροζόλ (συνυπολογίζοντας 30% πρόσθετο υλικό βάση του συντελεστή ασφαλείας που ορίζεται από το πρότυπο):</w:t>
            </w:r>
          </w:p>
          <w:p w:rsidR="00A44AF6" w:rsidRPr="00F531B3" w:rsidRDefault="00A44AF6" w:rsidP="00F531B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99,32 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gr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m³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για κατηγορία κλάσης φωτιάς Α </w:t>
            </w:r>
          </w:p>
          <w:p w:rsidR="00A44AF6" w:rsidRPr="00F531B3" w:rsidRDefault="00A44AF6" w:rsidP="00F531B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72,03 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gr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m³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για κατηγορία κλάσης φωτιάς Β </w:t>
            </w:r>
          </w:p>
          <w:p w:rsidR="00A44AF6" w:rsidRPr="00F531B3" w:rsidRDefault="00A44AF6" w:rsidP="00F531B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64,74 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gr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m³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για κατηγορία κλάσης φωτιάς C</w:t>
            </w:r>
          </w:p>
          <w:p w:rsidR="00A44AF6" w:rsidRPr="00F531B3" w:rsidRDefault="00A44AF6" w:rsidP="00F531B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105,08 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gr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m³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για κατηγορία κλάσης φωτιάς F</w:t>
            </w:r>
          </w:p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Σύμφωνα με την 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UL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πιστοποίηση και αναλόγως της κλάσης φωτιάς απαιτούνται οι παρακάτω ποσότητες κατασβεστικού υλικού Αεροζόλ (συνυπολογίζοντας 30% πρόσθετο υλικό βάση του συντελεστή ασφαλείας που ορίζεται από το πρότυπο).:</w:t>
            </w:r>
          </w:p>
          <w:p w:rsidR="00A44AF6" w:rsidRPr="00F531B3" w:rsidRDefault="00A44AF6" w:rsidP="00A44AF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109,20 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gr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m³</w:t>
            </w:r>
            <w:proofErr w:type="spellEnd"/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 για κατηγορία κλάσης φωτιάς Α, B, C και F.</w:t>
            </w:r>
          </w:p>
        </w:tc>
        <w:tc>
          <w:tcPr>
            <w:tcW w:w="4394" w:type="dxa"/>
          </w:tcPr>
          <w:p w:rsidR="00A44AF6" w:rsidRPr="00F531B3" w:rsidRDefault="00A44AF6" w:rsidP="00A4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A44AF6"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Διάρκεια ενεργούς παρουσίας του αεροζόλ στο χώρο μετά την ενεργοποίησή του.         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Τουλάχιστον 10 λεπτά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A44AF6"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44AF6" w:rsidRPr="00F531B3" w:rsidRDefault="00A44AF6" w:rsidP="00A44AF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Βεληνεκές εκτόξευσης αεροζόλ από την</w:t>
            </w:r>
            <w:r w:rsidRPr="0049709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συσκευή                                                    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Τεχνικά χαρακτηριστικά  του κατασκευαστή.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A44AF6"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Αντοχή σε θερμοκρασία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Από -50 ºC </w:t>
            </w:r>
            <w:r w:rsidR="00497090" w:rsidRPr="0049709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έως</w:t>
            </w: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 + 150 ºC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A44AF6"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Συντελεστής μείωσης της στοιβάδας του όζοντος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A44AF6"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Συντελεστής φαινομένου του θερμοκηπίου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497090">
        <w:trPr>
          <w:trHeight w:val="385"/>
        </w:trPr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Ατμοσφαιρική διάρκεια ζωής     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Αμελητέα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497090">
        <w:trPr>
          <w:trHeight w:val="420"/>
        </w:trPr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Αντοχή σε υγρασία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Μέχρι 98% σχετική υγρασία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693317" w:rsidTr="00497090">
        <w:trPr>
          <w:trHeight w:val="411"/>
        </w:trPr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Ηλεκτρική ενεργοποίηση</w:t>
            </w:r>
          </w:p>
        </w:tc>
        <w:tc>
          <w:tcPr>
            <w:tcW w:w="7371" w:type="dxa"/>
          </w:tcPr>
          <w:p w:rsidR="00A44AF6" w:rsidRPr="004070EB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en-US" w:eastAsia="el-GR"/>
              </w:rPr>
            </w:pPr>
            <w:r w:rsidRPr="004070EB"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en-US" w:eastAsia="el-GR"/>
              </w:rPr>
              <w:t>6-</w:t>
            </w:r>
            <w:proofErr w:type="spellStart"/>
            <w:r w:rsidRPr="004070EB"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en-US" w:eastAsia="el-GR"/>
              </w:rPr>
              <w:t>36V</w:t>
            </w:r>
            <w:proofErr w:type="spellEnd"/>
            <w:r w:rsidRPr="004070EB"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en-US" w:eastAsia="el-GR"/>
              </w:rPr>
              <w:t xml:space="preserve"> DC, 0.8 A </w:t>
            </w: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για</w:t>
            </w:r>
            <w:r w:rsidRPr="004070EB">
              <w:rPr>
                <w:rFonts w:ascii="Calibri" w:eastAsia="Times New Roman" w:hAnsi="Calibri" w:cs="Arial"/>
                <w:b/>
                <w:bCs/>
                <w:sz w:val="18"/>
                <w:szCs w:val="18"/>
                <w:lang w:val="en-US" w:eastAsia="el-GR"/>
              </w:rPr>
              <w:t xml:space="preserve"> 2-3 sec</w:t>
            </w:r>
          </w:p>
        </w:tc>
        <w:tc>
          <w:tcPr>
            <w:tcW w:w="4394" w:type="dxa"/>
          </w:tcPr>
          <w:p w:rsidR="00A44AF6" w:rsidRPr="004070EB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4AF6" w:rsidRPr="00F531B3" w:rsidTr="00497090">
        <w:trPr>
          <w:trHeight w:val="417"/>
        </w:trPr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Ηλεκτρικός έλεγχος</w:t>
            </w:r>
          </w:p>
        </w:tc>
        <w:tc>
          <w:tcPr>
            <w:tcW w:w="7371" w:type="dxa"/>
          </w:tcPr>
          <w:p w:rsidR="00A44AF6" w:rsidRPr="00F531B3" w:rsidRDefault="00497090" w:rsidP="0049709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49709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Μέγιστος </w:t>
            </w:r>
            <w:proofErr w:type="spellStart"/>
            <w:r w:rsidR="00A44AF6"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5mA</w:t>
            </w:r>
            <w:proofErr w:type="spellEnd"/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AF6" w:rsidRPr="00F531B3" w:rsidTr="00497090">
        <w:trPr>
          <w:trHeight w:val="423"/>
        </w:trPr>
        <w:tc>
          <w:tcPr>
            <w:tcW w:w="567" w:type="dxa"/>
          </w:tcPr>
          <w:p w:rsidR="00A44AF6" w:rsidRPr="00F531B3" w:rsidRDefault="00A44AF6" w:rsidP="00F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1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 xml:space="preserve">Χρόνος ενεργοποίησης                                      </w:t>
            </w:r>
          </w:p>
        </w:tc>
        <w:tc>
          <w:tcPr>
            <w:tcW w:w="7371" w:type="dxa"/>
          </w:tcPr>
          <w:p w:rsidR="00A44AF6" w:rsidRPr="00F531B3" w:rsidRDefault="00A44AF6" w:rsidP="00F531B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</w:pPr>
            <w:r w:rsidRPr="00F531B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l-GR"/>
              </w:rPr>
              <w:t>Άμεσα</w:t>
            </w:r>
          </w:p>
        </w:tc>
        <w:tc>
          <w:tcPr>
            <w:tcW w:w="4394" w:type="dxa"/>
          </w:tcPr>
          <w:p w:rsidR="00A44AF6" w:rsidRPr="00F531B3" w:rsidRDefault="00A44AF6" w:rsidP="0068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4E1C" w:rsidRDefault="00EB4E1C" w:rsidP="00DE2DD9"/>
    <w:p w:rsidR="00690F18" w:rsidRDefault="00690F18"/>
    <w:p w:rsidR="00693317" w:rsidRDefault="00693317" w:rsidP="00C9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93317" w:rsidRDefault="00693317" w:rsidP="00C9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693317" w:rsidRDefault="00693317" w:rsidP="00C9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F411D7" w:rsidRPr="00693317" w:rsidRDefault="00C92E86" w:rsidP="0069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944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lastRenderedPageBreak/>
        <w:t xml:space="preserve">ΦΥΛΛΟ ΣΥΜΜΟΡΦΩΣΗΣ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ΦΩΤΙΣΤΙΚΩΝ ΑΣΦΑΛΕΙΑΣ</w:t>
      </w:r>
      <w:bookmarkStart w:id="32" w:name="_GoBack"/>
      <w:bookmarkEnd w:id="32"/>
    </w:p>
    <w:tbl>
      <w:tblPr>
        <w:tblW w:w="16406" w:type="dxa"/>
        <w:tblInd w:w="-564" w:type="dxa"/>
        <w:tblLayout w:type="fixed"/>
        <w:tblLook w:val="04A0" w:firstRow="1" w:lastRow="0" w:firstColumn="1" w:lastColumn="0" w:noHBand="0" w:noVBand="1"/>
      </w:tblPr>
      <w:tblGrid>
        <w:gridCol w:w="818"/>
        <w:gridCol w:w="3682"/>
        <w:gridCol w:w="1984"/>
        <w:gridCol w:w="1418"/>
        <w:gridCol w:w="1417"/>
        <w:gridCol w:w="1701"/>
        <w:gridCol w:w="1701"/>
        <w:gridCol w:w="2410"/>
        <w:gridCol w:w="1275"/>
      </w:tblGrid>
      <w:tr w:rsidR="00F411D7" w:rsidRPr="00F411D7" w:rsidTr="00F411D7">
        <w:trPr>
          <w:trHeight w:val="661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α/α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Περιγραφή φωτιστικού</w:t>
            </w:r>
            <w:r w:rsidRPr="00F411D7">
              <w:rPr>
                <w:rFonts w:eastAsia="Times New Roman" w:cs="Times New Roman"/>
                <w:lang w:eastAsia="el-GR"/>
              </w:rPr>
              <w:t xml:space="preserve"> / ελάχιστες απαιτήσεις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Προτεινόμενος Τύπος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US" w:eastAsia="el-GR"/>
              </w:rPr>
            </w:pPr>
            <w:proofErr w:type="spellStart"/>
            <w:r w:rsidRPr="00F411D7">
              <w:rPr>
                <w:rFonts w:eastAsia="Times New Roman" w:cs="Times New Roman"/>
                <w:b/>
                <w:bCs/>
                <w:lang w:eastAsia="el-GR"/>
              </w:rPr>
              <w:t>CE</w:t>
            </w:r>
            <w:proofErr w:type="spellEnd"/>
            <w:r w:rsidRPr="00F411D7">
              <w:rPr>
                <w:rFonts w:eastAsia="Times New Roman" w:cs="Times New Roman"/>
                <w:b/>
                <w:bCs/>
                <w:lang w:val="en-US" w:eastAsia="el-GR"/>
              </w:rPr>
              <w:t xml:space="preserve"> </w:t>
            </w:r>
            <w:r w:rsidRPr="00F411D7">
              <w:rPr>
                <w:rFonts w:eastAsia="Times New Roman" w:cs="Times New Roman"/>
                <w:b/>
                <w:bCs/>
                <w:lang w:eastAsia="el-GR"/>
              </w:rPr>
              <w:t>απάντηση- παραπομπή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ΕΛΟΤ ΕΝ απαίτηση/ απάντηση- παραπομπή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val="en-US" w:eastAsia="el-GR"/>
              </w:rPr>
              <w:t>ISO 9001</w:t>
            </w:r>
            <w:r w:rsidRPr="00F411D7">
              <w:rPr>
                <w:rFonts w:eastAsia="Times New Roman" w:cs="Times New Roman"/>
                <w:b/>
                <w:bCs/>
                <w:lang w:eastAsia="el-GR"/>
              </w:rPr>
              <w:t xml:space="preserve"> κατασκευαστή απάντηση- παραπομπή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val="en-US" w:eastAsia="el-GR"/>
              </w:rPr>
              <w:t>ISO 14001</w:t>
            </w:r>
            <w:r w:rsidRPr="00F411D7">
              <w:rPr>
                <w:rFonts w:eastAsia="Times New Roman" w:cs="Times New Roman"/>
                <w:b/>
                <w:bCs/>
                <w:lang w:eastAsia="el-GR"/>
              </w:rPr>
              <w:t xml:space="preserve"> κατασκευαστή απάντηση- παραπομπή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11D7" w:rsidRPr="00F411D7" w:rsidRDefault="00F411D7" w:rsidP="00AB6A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 xml:space="preserve">Απαιτούμενη Εγγύηση/ απάντηση </w:t>
            </w:r>
          </w:p>
          <w:p w:rsidR="00F411D7" w:rsidRPr="00F411D7" w:rsidRDefault="00F411D7" w:rsidP="00AB6A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ΦΩΤΙΣΤΙΚΟ/ΜΠΑΤΑΡΙΑ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40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1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bookmarkStart w:id="33" w:name="OLE_LINK129"/>
            <w:bookmarkStart w:id="34" w:name="OLE_LINK130"/>
            <w:r w:rsidRPr="00EB4E1C">
              <w:rPr>
                <w:rFonts w:eastAsia="Times New Roman" w:cs="Times New Roman"/>
                <w:lang w:eastAsia="el-GR"/>
              </w:rPr>
              <w:t xml:space="preserve">Φωτιστικό ασφαλείας υψηλής </w:t>
            </w:r>
            <w:bookmarkEnd w:id="33"/>
            <w:bookmarkEnd w:id="34"/>
            <w:r w:rsidRPr="00F411D7">
              <w:rPr>
                <w:rFonts w:eastAsia="Times New Roman" w:cs="Times New Roman"/>
                <w:lang w:eastAsia="el-GR"/>
              </w:rPr>
              <w:t xml:space="preserve">αυτοελεγχόμενο, μη συνεχούς λειτουργίας 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2.1Α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</w:t>
            </w:r>
          </w:p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1838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AB6A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75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393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2</w:t>
            </w:r>
          </w:p>
        </w:tc>
        <w:tc>
          <w:tcPr>
            <w:tcW w:w="36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bookmarkStart w:id="35" w:name="OLE_LINK133"/>
            <w:bookmarkStart w:id="36" w:name="OLE_LINK134"/>
            <w:r w:rsidRPr="00EB4E1C">
              <w:rPr>
                <w:rFonts w:eastAsia="Times New Roman" w:cs="Times New Roman"/>
                <w:lang w:eastAsia="el-GR"/>
              </w:rPr>
              <w:t xml:space="preserve">Φωτιστικό ασφαλείας </w:t>
            </w:r>
            <w:r w:rsidRPr="00F411D7">
              <w:rPr>
                <w:rFonts w:eastAsia="Times New Roman" w:cs="Times New Roman"/>
                <w:lang w:eastAsia="el-GR"/>
              </w:rPr>
              <w:t>αυτοελεγχόμενο, συνεχούς λειτουργίας,</w:t>
            </w:r>
            <w:bookmarkEnd w:id="35"/>
            <w:bookmarkEnd w:id="36"/>
            <w:r w:rsidRPr="00F411D7">
              <w:rPr>
                <w:rFonts w:eastAsia="Times New Roman" w:cs="Times New Roman"/>
                <w:lang w:eastAsia="el-GR"/>
              </w:rPr>
              <w:t xml:space="preserve">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2.1Β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F411D7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 1838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10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509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3</w:t>
            </w:r>
          </w:p>
        </w:tc>
        <w:tc>
          <w:tcPr>
            <w:tcW w:w="36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 xml:space="preserve">Φωτιστικό ασφαλείας </w:t>
            </w:r>
            <w:r w:rsidRPr="00F411D7">
              <w:rPr>
                <w:rFonts w:eastAsia="Times New Roman" w:cs="Times New Roman"/>
                <w:lang w:eastAsia="el-GR"/>
              </w:rPr>
              <w:t xml:space="preserve">αυτοελεγχόμενο, συνεχούς λειτουργίας,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2.1Γ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 1838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600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50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4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 xml:space="preserve">Φωτιστικό ασφαλείας </w:t>
            </w:r>
            <w:r w:rsidRPr="00F411D7">
              <w:rPr>
                <w:rFonts w:eastAsia="Times New Roman" w:cs="Times New Roman"/>
                <w:lang w:eastAsia="el-GR"/>
              </w:rPr>
              <w:t xml:space="preserve">αυτοελεγχόμενο, συνεχούς λειτουργίας,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2.1Δ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 1838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20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557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5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 xml:space="preserve">Φωτιστικό ασφαλείας </w:t>
            </w:r>
            <w:r w:rsidRPr="00F411D7">
              <w:rPr>
                <w:rFonts w:eastAsia="Times New Roman" w:cs="Times New Roman"/>
                <w:lang w:eastAsia="el-GR"/>
              </w:rPr>
              <w:t xml:space="preserve">αυτοελεγχόμενο, συνεχούς λειτουργίας,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2.1Ε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 1838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18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C92E86">
        <w:trPr>
          <w:gridAfter w:val="1"/>
          <w:wAfter w:w="1275" w:type="dxa"/>
          <w:trHeight w:val="36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6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 xml:space="preserve">Φωτιστικό ασφαλείας </w:t>
            </w:r>
            <w:r w:rsidRPr="00F411D7">
              <w:rPr>
                <w:rFonts w:eastAsia="Times New Roman" w:cs="Times New Roman"/>
                <w:lang w:eastAsia="el-GR"/>
              </w:rPr>
              <w:t xml:space="preserve">αυτοελεγχόμενο, συνεχούς λειτουργίας,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2.1ΣΤ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</w:t>
            </w:r>
            <w:r>
              <w:rPr>
                <w:rFonts w:eastAsia="Times New Roman" w:cs="Times New Roman"/>
                <w:b/>
                <w:bCs/>
                <w:lang w:eastAsia="el-GR"/>
              </w:rPr>
              <w:t xml:space="preserve"> </w:t>
            </w:r>
            <w:r w:rsidRPr="00F411D7">
              <w:rPr>
                <w:rFonts w:eastAsia="Times New Roman" w:cs="Times New Roman"/>
                <w:b/>
                <w:bCs/>
                <w:lang w:eastAsia="el-GR"/>
              </w:rPr>
              <w:t>1838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27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417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lastRenderedPageBreak/>
              <w:t>7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lang w:eastAsia="el-GR"/>
              </w:rPr>
              <w:t xml:space="preserve">Φωτιστικό ασφαλείας σήμανσης,, συνεχούς λειτουργίας,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2.1Ζ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 1838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34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387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8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lang w:eastAsia="el-GR"/>
              </w:rPr>
              <w:t xml:space="preserve">Φωτιστικό ασφαλείας σήμανσης, αυτοελεγχόμενο, συνεχούς λειτουργίας,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2.1Η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 xml:space="preserve">60598-1 60598-2-221838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728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F411D7" w:rsidRPr="00F411D7" w:rsidTr="00F411D7">
        <w:trPr>
          <w:gridAfter w:val="1"/>
          <w:wAfter w:w="1275" w:type="dxa"/>
          <w:trHeight w:val="456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1D7" w:rsidRPr="00EB4E1C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EB4E1C">
              <w:rPr>
                <w:rFonts w:eastAsia="Times New Roman" w:cs="Times New Roman"/>
                <w:lang w:eastAsia="el-GR"/>
              </w:rPr>
              <w:t>9</w:t>
            </w:r>
          </w:p>
        </w:tc>
        <w:tc>
          <w:tcPr>
            <w:tcW w:w="36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1D7" w:rsidRPr="00EB4E1C" w:rsidRDefault="00F411D7" w:rsidP="00690F18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lang w:eastAsia="el-GR"/>
              </w:rPr>
              <w:t xml:space="preserve">Στεγανό εξαρτώμενο φωτιστικό σήμανσης γενικής χρήσης, σύμφωνα με τις τεχνικές προδιαγραφές τύπος </w:t>
            </w:r>
            <w:proofErr w:type="spellStart"/>
            <w:r w:rsidRPr="00F411D7">
              <w:rPr>
                <w:rFonts w:eastAsia="Times New Roman" w:cs="Times New Roman"/>
                <w:lang w:eastAsia="el-GR"/>
              </w:rPr>
              <w:t>2.1Θ</w:t>
            </w:r>
            <w:proofErr w:type="spellEnd"/>
            <w:r w:rsidRPr="00F411D7">
              <w:rPr>
                <w:rFonts w:eastAsia="Times New Roman" w:cs="Times New Roman"/>
                <w:lang w:eastAsia="el-G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60598-1 60598-2-22 1838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1D7" w:rsidRPr="00F411D7" w:rsidRDefault="00F411D7" w:rsidP="00684F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l-GR"/>
              </w:rPr>
            </w:pPr>
            <w:r w:rsidRPr="00F411D7">
              <w:rPr>
                <w:rFonts w:eastAsia="Times New Roman" w:cs="Times New Roman"/>
                <w:b/>
                <w:bCs/>
                <w:lang w:eastAsia="el-GR"/>
              </w:rPr>
              <w:t>3 ΕΤΗ/1 ΕΤΟΣ</w:t>
            </w:r>
          </w:p>
        </w:tc>
      </w:tr>
      <w:tr w:rsidR="00F411D7" w:rsidRPr="00F411D7" w:rsidTr="00C92E86">
        <w:trPr>
          <w:gridAfter w:val="1"/>
          <w:wAfter w:w="1275" w:type="dxa"/>
          <w:trHeight w:val="864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36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1D7" w:rsidRPr="00F411D7" w:rsidRDefault="00F411D7" w:rsidP="00EB4E1C">
            <w:pPr>
              <w:spacing w:after="0" w:line="240" w:lineRule="auto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11D7" w:rsidRPr="00F411D7" w:rsidRDefault="00F411D7" w:rsidP="00EB4E1C">
            <w:pPr>
              <w:spacing w:after="0" w:line="240" w:lineRule="auto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</w:tbl>
    <w:p w:rsidR="00F531B3" w:rsidRPr="00F411D7" w:rsidRDefault="00F531B3" w:rsidP="00690F18">
      <w:pPr>
        <w:rPr>
          <w:rFonts w:cs="Times New Roman"/>
        </w:rPr>
      </w:pPr>
    </w:p>
    <w:sectPr w:rsidR="00F531B3" w:rsidRPr="00F411D7" w:rsidSect="008A213C">
      <w:pgSz w:w="16838" w:h="11906" w:orient="landscape"/>
      <w:pgMar w:top="437" w:right="1440" w:bottom="709" w:left="1440" w:header="426" w:footer="311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0FF" w:rsidRDefault="00C300FF" w:rsidP="004070EB">
      <w:pPr>
        <w:spacing w:after="0" w:line="240" w:lineRule="auto"/>
      </w:pPr>
      <w:r>
        <w:separator/>
      </w:r>
    </w:p>
  </w:endnote>
  <w:endnote w:type="continuationSeparator" w:id="0">
    <w:p w:rsidR="00C300FF" w:rsidRDefault="00C300FF" w:rsidP="0040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0FF" w:rsidRDefault="00C300FF" w:rsidP="004070EB">
      <w:pPr>
        <w:spacing w:after="0" w:line="240" w:lineRule="auto"/>
      </w:pPr>
      <w:r>
        <w:separator/>
      </w:r>
    </w:p>
  </w:footnote>
  <w:footnote w:type="continuationSeparator" w:id="0">
    <w:p w:rsidR="00C300FF" w:rsidRDefault="00C300FF" w:rsidP="0040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1AB"/>
    <w:multiLevelType w:val="hybridMultilevel"/>
    <w:tmpl w:val="0F72D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6935"/>
    <w:multiLevelType w:val="hybridMultilevel"/>
    <w:tmpl w:val="BB7619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70E82"/>
    <w:multiLevelType w:val="hybridMultilevel"/>
    <w:tmpl w:val="9D460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3E"/>
    <w:rsid w:val="000253E2"/>
    <w:rsid w:val="00036AD9"/>
    <w:rsid w:val="001A3EC2"/>
    <w:rsid w:val="00256CE9"/>
    <w:rsid w:val="0039360A"/>
    <w:rsid w:val="0040131D"/>
    <w:rsid w:val="004070EB"/>
    <w:rsid w:val="00497090"/>
    <w:rsid w:val="0055524D"/>
    <w:rsid w:val="00690F18"/>
    <w:rsid w:val="00693317"/>
    <w:rsid w:val="006B5276"/>
    <w:rsid w:val="00794780"/>
    <w:rsid w:val="008A213C"/>
    <w:rsid w:val="008C0C01"/>
    <w:rsid w:val="00A44AF6"/>
    <w:rsid w:val="00AA4943"/>
    <w:rsid w:val="00AB6A87"/>
    <w:rsid w:val="00B71AE0"/>
    <w:rsid w:val="00B8577A"/>
    <w:rsid w:val="00C300FF"/>
    <w:rsid w:val="00C92E86"/>
    <w:rsid w:val="00D16CD0"/>
    <w:rsid w:val="00D9443E"/>
    <w:rsid w:val="00DC7DF9"/>
    <w:rsid w:val="00DE2DD9"/>
    <w:rsid w:val="00E82A28"/>
    <w:rsid w:val="00EA47C6"/>
    <w:rsid w:val="00EB4E1C"/>
    <w:rsid w:val="00F411D7"/>
    <w:rsid w:val="00F5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08FEE3-8880-4B2A-960B-71452DFC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070EB"/>
  </w:style>
  <w:style w:type="paragraph" w:styleId="a4">
    <w:name w:val="footer"/>
    <w:basedOn w:val="a"/>
    <w:link w:val="Char0"/>
    <w:uiPriority w:val="99"/>
    <w:unhideWhenUsed/>
    <w:rsid w:val="00407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0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886</Words>
  <Characters>5451</Characters>
  <Application>Microsoft Office Word</Application>
  <DocSecurity>0</DocSecurity>
  <Lines>155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doulgerg</dc:creator>
  <cp:lastModifiedBy>oikonomiki2</cp:lastModifiedBy>
  <cp:revision>4</cp:revision>
  <dcterms:created xsi:type="dcterms:W3CDTF">2017-05-17T07:55:00Z</dcterms:created>
  <dcterms:modified xsi:type="dcterms:W3CDTF">2017-05-17T07:59:00Z</dcterms:modified>
</cp:coreProperties>
</file>