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8" w:type="dxa"/>
        <w:tblLayout w:type="fixed"/>
        <w:tblLook w:val="0000" w:firstRow="0" w:lastRow="0" w:firstColumn="0" w:lastColumn="0" w:noHBand="0" w:noVBand="0"/>
      </w:tblPr>
      <w:tblGrid>
        <w:gridCol w:w="8939"/>
        <w:gridCol w:w="236"/>
        <w:gridCol w:w="643"/>
      </w:tblGrid>
      <w:tr w:rsidR="00DF3E5C" w:rsidRPr="00580D91" w14:paraId="6965D684" w14:textId="77777777" w:rsidTr="00CD04BB">
        <w:trPr>
          <w:trHeight w:val="708"/>
        </w:trPr>
        <w:tc>
          <w:tcPr>
            <w:tcW w:w="8939" w:type="dxa"/>
          </w:tcPr>
          <w:p w14:paraId="25839BBA" w14:textId="77777777" w:rsidR="00DF3E5C" w:rsidRPr="00CD04BB" w:rsidRDefault="00DF3E5C" w:rsidP="00AB25CC">
            <w:pPr>
              <w:rPr>
                <w:b/>
                <w:bCs/>
                <w:sz w:val="24"/>
                <w:szCs w:val="24"/>
              </w:rPr>
            </w:pPr>
          </w:p>
          <w:p w14:paraId="44F9ECE9" w14:textId="77777777" w:rsidR="00DF3E5C" w:rsidRPr="00580D91" w:rsidRDefault="00DF3E5C" w:rsidP="00AB25CC">
            <w:pPr>
              <w:rPr>
                <w:b/>
                <w:bCs/>
                <w:sz w:val="24"/>
                <w:szCs w:val="24"/>
              </w:rPr>
            </w:pPr>
          </w:p>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71E21781" w14:textId="77777777" w:rsidR="00DF3E5C" w:rsidRDefault="001D2663" w:rsidP="00CD04BB">
            <w:pPr>
              <w:jc w:val="right"/>
              <w:rPr>
                <w:b/>
                <w:bCs/>
                <w:sz w:val="24"/>
                <w:szCs w:val="24"/>
              </w:rPr>
            </w:pPr>
            <w:r>
              <w:rPr>
                <w:b/>
                <w:bCs/>
                <w:sz w:val="24"/>
                <w:szCs w:val="24"/>
              </w:rPr>
              <w:t>Οικονομικό φορέα</w:t>
            </w:r>
          </w:p>
          <w:p w14:paraId="3DC67222" w14:textId="77777777" w:rsidR="00C907AF" w:rsidRPr="00C907AF" w:rsidRDefault="00C907AF" w:rsidP="00C907AF">
            <w:pPr>
              <w:rPr>
                <w:sz w:val="24"/>
                <w:szCs w:val="24"/>
              </w:rPr>
            </w:pPr>
          </w:p>
          <w:p w14:paraId="2CEBA50D" w14:textId="77777777" w:rsidR="00C907AF" w:rsidRDefault="00C907AF" w:rsidP="00C907AF">
            <w:pPr>
              <w:rPr>
                <w:b/>
                <w:bCs/>
                <w:sz w:val="24"/>
                <w:szCs w:val="24"/>
              </w:rPr>
            </w:pPr>
          </w:p>
          <w:p w14:paraId="6319EC46" w14:textId="6727A476" w:rsidR="00C907AF" w:rsidRPr="00C907AF" w:rsidRDefault="00C907AF" w:rsidP="00C907AF">
            <w:pPr>
              <w:tabs>
                <w:tab w:val="left" w:pos="3330"/>
              </w:tabs>
              <w:rPr>
                <w:sz w:val="24"/>
                <w:szCs w:val="24"/>
              </w:rPr>
            </w:pPr>
            <w:r>
              <w:rPr>
                <w:sz w:val="24"/>
                <w:szCs w:val="24"/>
              </w:rPr>
              <w:tab/>
            </w:r>
          </w:p>
        </w:tc>
        <w:tc>
          <w:tcPr>
            <w:tcW w:w="236" w:type="dxa"/>
          </w:tcPr>
          <w:p w14:paraId="748A1DC1" w14:textId="77777777" w:rsidR="00DF3E5C" w:rsidRPr="00580D91" w:rsidRDefault="00DF3E5C" w:rsidP="00AB25CC">
            <w:pPr>
              <w:rPr>
                <w:sz w:val="24"/>
                <w:szCs w:val="24"/>
              </w:rPr>
            </w:pPr>
          </w:p>
        </w:tc>
        <w:tc>
          <w:tcPr>
            <w:tcW w:w="643"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tbl>
      <w:tblPr>
        <w:tblpPr w:leftFromText="180" w:rightFromText="180" w:vertAnchor="page" w:horzAnchor="margin" w:tblpY="2518"/>
        <w:tblOverlap w:val="never"/>
        <w:tblW w:w="9214" w:type="dxa"/>
        <w:tblLayout w:type="fixed"/>
        <w:tblLook w:val="04A0" w:firstRow="1" w:lastRow="0" w:firstColumn="1" w:lastColumn="0" w:noHBand="0" w:noVBand="1"/>
      </w:tblPr>
      <w:tblGrid>
        <w:gridCol w:w="1390"/>
        <w:gridCol w:w="2296"/>
        <w:gridCol w:w="5528"/>
      </w:tblGrid>
      <w:tr w:rsidR="00CD04BB" w:rsidRPr="00C62D9A" w14:paraId="61941ABF" w14:textId="77777777" w:rsidTr="0071769A">
        <w:tc>
          <w:tcPr>
            <w:tcW w:w="1390" w:type="dxa"/>
          </w:tcPr>
          <w:p w14:paraId="4D1BF88B" w14:textId="77777777" w:rsidR="00CD04BB" w:rsidRPr="00C62D9A" w:rsidRDefault="00CD04BB" w:rsidP="00CD04BB">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451AB92F" w14:textId="77777777" w:rsidR="00CD04BB" w:rsidRPr="00C62D9A" w:rsidRDefault="00CD04BB" w:rsidP="00CD04BB">
            <w:pPr>
              <w:ind w:left="94" w:hanging="94"/>
            </w:pPr>
            <w:r w:rsidRPr="00C62D9A">
              <w:t>: Παν/</w:t>
            </w:r>
            <w:proofErr w:type="spellStart"/>
            <w:r w:rsidRPr="00C62D9A">
              <w:t>πολη</w:t>
            </w:r>
            <w:proofErr w:type="spellEnd"/>
            <w:r>
              <w:t xml:space="preserve"> </w:t>
            </w:r>
            <w:r w:rsidRPr="00C62D9A">
              <w:t>Ρεθύμνου</w:t>
            </w:r>
          </w:p>
        </w:tc>
        <w:tc>
          <w:tcPr>
            <w:tcW w:w="5528" w:type="dxa"/>
          </w:tcPr>
          <w:p w14:paraId="6B2ABCA6" w14:textId="18F45282" w:rsidR="00CD04BB" w:rsidRPr="00C62D9A" w:rsidRDefault="00CD04BB" w:rsidP="00CD04BB">
            <w:pPr>
              <w:rPr>
                <w:b/>
                <w:bCs/>
              </w:rPr>
            </w:pPr>
            <w:r w:rsidRPr="00C62D9A">
              <w:rPr>
                <w:b/>
                <w:bCs/>
              </w:rPr>
              <w:t xml:space="preserve">                                                     </w:t>
            </w:r>
          </w:p>
        </w:tc>
      </w:tr>
      <w:tr w:rsidR="00CD04BB" w:rsidRPr="00C62D9A" w14:paraId="4D2630DC" w14:textId="77777777" w:rsidTr="0071769A">
        <w:tc>
          <w:tcPr>
            <w:tcW w:w="1390" w:type="dxa"/>
          </w:tcPr>
          <w:p w14:paraId="09D307B4" w14:textId="77777777" w:rsidR="00CD04BB" w:rsidRPr="00C62D9A" w:rsidRDefault="00CD04BB" w:rsidP="00CD04BB">
            <w:pPr>
              <w:rPr>
                <w:b/>
                <w:bCs/>
              </w:rPr>
            </w:pPr>
            <w:r w:rsidRPr="00C62D9A">
              <w:rPr>
                <w:b/>
                <w:bCs/>
              </w:rPr>
              <w:t>Πληροφ.</w:t>
            </w:r>
          </w:p>
        </w:tc>
        <w:tc>
          <w:tcPr>
            <w:tcW w:w="2296" w:type="dxa"/>
          </w:tcPr>
          <w:p w14:paraId="7FDB3098" w14:textId="77777777" w:rsidR="00CD04BB" w:rsidRPr="00C62D9A" w:rsidRDefault="00CD04BB" w:rsidP="00CD04BB">
            <w:pPr>
              <w:rPr>
                <w:bCs/>
              </w:rPr>
            </w:pPr>
            <w:r w:rsidRPr="00C62D9A">
              <w:rPr>
                <w:bCs/>
              </w:rPr>
              <w:t>: Β. Μυλωνά</w:t>
            </w:r>
          </w:p>
        </w:tc>
        <w:tc>
          <w:tcPr>
            <w:tcW w:w="5528" w:type="dxa"/>
          </w:tcPr>
          <w:p w14:paraId="16E43DDE" w14:textId="77777777" w:rsidR="00CD04BB" w:rsidRPr="001C7230" w:rsidRDefault="00CD04BB" w:rsidP="00CD04BB">
            <w:pPr>
              <w:jc w:val="center"/>
              <w:rPr>
                <w:b/>
                <w:bCs/>
                <w:sz w:val="22"/>
                <w:szCs w:val="22"/>
              </w:rPr>
            </w:pPr>
          </w:p>
        </w:tc>
      </w:tr>
      <w:tr w:rsidR="00CD04BB" w:rsidRPr="00C62D9A" w14:paraId="17B9E551" w14:textId="77777777" w:rsidTr="0071769A">
        <w:tc>
          <w:tcPr>
            <w:tcW w:w="1390" w:type="dxa"/>
          </w:tcPr>
          <w:p w14:paraId="4D2D3F23" w14:textId="77777777" w:rsidR="00CD04BB" w:rsidRPr="00C62D9A" w:rsidRDefault="00CD04BB" w:rsidP="00CD04BB">
            <w:pPr>
              <w:rPr>
                <w:b/>
                <w:bCs/>
              </w:rPr>
            </w:pPr>
            <w:proofErr w:type="spellStart"/>
            <w:r w:rsidRPr="00C62D9A">
              <w:rPr>
                <w:b/>
                <w:bCs/>
              </w:rPr>
              <w:t>Τηλ</w:t>
            </w:r>
            <w:proofErr w:type="spellEnd"/>
            <w:r w:rsidRPr="00C62D9A">
              <w:rPr>
                <w:b/>
                <w:bCs/>
              </w:rPr>
              <w:t>.</w:t>
            </w:r>
          </w:p>
        </w:tc>
        <w:tc>
          <w:tcPr>
            <w:tcW w:w="2296" w:type="dxa"/>
          </w:tcPr>
          <w:p w14:paraId="5BDC0C09" w14:textId="77777777" w:rsidR="00CD04BB" w:rsidRPr="00C62D9A" w:rsidRDefault="00CD04BB" w:rsidP="00CD04BB">
            <w:pPr>
              <w:rPr>
                <w:bCs/>
              </w:rPr>
            </w:pPr>
            <w:r w:rsidRPr="00C62D9A">
              <w:rPr>
                <w:bCs/>
              </w:rPr>
              <w:t>:2831077997</w:t>
            </w:r>
          </w:p>
        </w:tc>
        <w:tc>
          <w:tcPr>
            <w:tcW w:w="5528" w:type="dxa"/>
          </w:tcPr>
          <w:p w14:paraId="23C6ABCF" w14:textId="469B52BA" w:rsidR="00CD04BB" w:rsidRPr="001C7230" w:rsidRDefault="00D36245" w:rsidP="00CD04BB">
            <w:pPr>
              <w:jc w:val="center"/>
              <w:rPr>
                <w:b/>
                <w:bCs/>
                <w:sz w:val="22"/>
                <w:szCs w:val="22"/>
              </w:rPr>
            </w:pPr>
            <w:r>
              <w:rPr>
                <w:b/>
                <w:bCs/>
                <w:sz w:val="22"/>
                <w:szCs w:val="22"/>
              </w:rPr>
              <w:t xml:space="preserve">   Ρέθυμνο, 21/11/2025</w:t>
            </w:r>
          </w:p>
        </w:tc>
      </w:tr>
      <w:tr w:rsidR="00CD04BB" w:rsidRPr="00C62D9A" w14:paraId="7F4D1B17" w14:textId="77777777" w:rsidTr="0071769A">
        <w:tc>
          <w:tcPr>
            <w:tcW w:w="1390" w:type="dxa"/>
          </w:tcPr>
          <w:p w14:paraId="519F01FB" w14:textId="77777777" w:rsidR="00CD04BB" w:rsidRPr="00C62D9A" w:rsidRDefault="00CD04BB" w:rsidP="00CD04BB">
            <w:pPr>
              <w:rPr>
                <w:b/>
                <w:bCs/>
              </w:rPr>
            </w:pPr>
            <w:r w:rsidRPr="00C62D9A">
              <w:rPr>
                <w:b/>
                <w:bCs/>
                <w:lang w:val="en-US"/>
              </w:rPr>
              <w:t>Email</w:t>
            </w:r>
          </w:p>
        </w:tc>
        <w:tc>
          <w:tcPr>
            <w:tcW w:w="2296" w:type="dxa"/>
          </w:tcPr>
          <w:p w14:paraId="5C1BE4CE" w14:textId="77777777" w:rsidR="00CD04BB" w:rsidRPr="00C62D9A" w:rsidRDefault="00CD04BB" w:rsidP="00CD04BB">
            <w:pPr>
              <w:rPr>
                <w:bCs/>
              </w:rPr>
            </w:pPr>
            <w:r w:rsidRPr="00C62D9A">
              <w:rPr>
                <w:bCs/>
              </w:rPr>
              <w:t>:</w:t>
            </w:r>
            <w:proofErr w:type="spellStart"/>
            <w:r w:rsidRPr="00C62D9A">
              <w:rPr>
                <w:bCs/>
                <w:lang w:val="en-US"/>
              </w:rPr>
              <w:t>mylonav</w:t>
            </w:r>
            <w:proofErr w:type="spellEnd"/>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5259EE2" w14:textId="78244106" w:rsidR="00CD04BB" w:rsidRPr="00C62D9A" w:rsidRDefault="00D36245" w:rsidP="00D36245">
            <w:pPr>
              <w:tabs>
                <w:tab w:val="left" w:pos="1800"/>
              </w:tabs>
              <w:rPr>
                <w:b/>
                <w:bCs/>
              </w:rPr>
            </w:pPr>
            <w:r>
              <w:rPr>
                <w:b/>
                <w:bCs/>
              </w:rPr>
              <w:tab/>
              <w:t>Α.Π. : 28220</w:t>
            </w:r>
          </w:p>
        </w:tc>
      </w:tr>
      <w:tr w:rsidR="00CD04BB" w:rsidRPr="00C62D9A" w14:paraId="6815BF6E" w14:textId="77777777" w:rsidTr="0071769A">
        <w:tc>
          <w:tcPr>
            <w:tcW w:w="1390" w:type="dxa"/>
          </w:tcPr>
          <w:p w14:paraId="4C153D23" w14:textId="77777777" w:rsidR="00CD04BB" w:rsidRPr="00C62D9A" w:rsidRDefault="00CD04BB" w:rsidP="00CD04BB">
            <w:pPr>
              <w:rPr>
                <w:b/>
                <w:bCs/>
              </w:rPr>
            </w:pPr>
            <w:r w:rsidRPr="00C62D9A">
              <w:rPr>
                <w:b/>
                <w:bCs/>
              </w:rPr>
              <w:t>Ιστοσελίδα</w:t>
            </w:r>
          </w:p>
        </w:tc>
        <w:tc>
          <w:tcPr>
            <w:tcW w:w="2296" w:type="dxa"/>
          </w:tcPr>
          <w:p w14:paraId="65D74440" w14:textId="77777777" w:rsidR="00CD04BB" w:rsidRPr="00C62D9A" w:rsidRDefault="00CD04BB" w:rsidP="00CD04BB">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0E62319B" w14:textId="77777777" w:rsidR="00CD04BB" w:rsidRPr="00C62D9A" w:rsidRDefault="00CD04BB" w:rsidP="00CD04BB">
            <w:pPr>
              <w:jc w:val="right"/>
              <w:rPr>
                <w:b/>
                <w:bCs/>
              </w:rPr>
            </w:pPr>
          </w:p>
        </w:tc>
      </w:tr>
    </w:tbl>
    <w:p w14:paraId="40B18377" w14:textId="6FF495D3" w:rsidR="0039204F" w:rsidRPr="00580D91" w:rsidRDefault="00CD04BB" w:rsidP="00DF3D75">
      <w:pPr>
        <w:pStyle w:val="a4"/>
        <w:spacing w:line="280" w:lineRule="atLeast"/>
        <w:ind w:right="-285"/>
        <w:jc w:val="center"/>
        <w:rPr>
          <w:b/>
        </w:rPr>
      </w:pPr>
      <w:r w:rsidRPr="00580D91">
        <w:rPr>
          <w:b/>
          <w:bCs/>
          <w:noProof/>
        </w:rPr>
        <mc:AlternateContent>
          <mc:Choice Requires="wps">
            <w:drawing>
              <wp:anchor distT="0" distB="0" distL="114300" distR="114300" simplePos="0" relativeHeight="251658240" behindDoc="0" locked="0" layoutInCell="1" allowOverlap="1" wp14:anchorId="14E3BDE9" wp14:editId="0E29B8C9">
                <wp:simplePos x="0" y="0"/>
                <wp:positionH relativeFrom="column">
                  <wp:posOffset>773430</wp:posOffset>
                </wp:positionH>
                <wp:positionV relativeFrom="paragraph">
                  <wp:posOffset>-3677892</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left:0;text-align:left;margin-left:60.9pt;margin-top:-289.6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Pr="00580D91">
        <w:rPr>
          <w:noProof/>
        </w:rPr>
        <w:drawing>
          <wp:anchor distT="0" distB="0" distL="114300" distR="114300" simplePos="0" relativeHeight="251659264" behindDoc="0" locked="0" layoutInCell="1" allowOverlap="1" wp14:anchorId="7FF9428C" wp14:editId="585C09BF">
            <wp:simplePos x="0" y="0"/>
            <wp:positionH relativeFrom="margin">
              <wp:posOffset>-185862</wp:posOffset>
            </wp:positionH>
            <wp:positionV relativeFrom="margin">
              <wp:posOffset>-838200</wp:posOffset>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6046C1F2" w:rsidR="00DF3D75" w:rsidRPr="005438FB" w:rsidRDefault="00892F30" w:rsidP="0033087F">
      <w:pPr>
        <w:pStyle w:val="a4"/>
        <w:spacing w:line="280" w:lineRule="atLeast"/>
        <w:ind w:right="-285"/>
        <w:jc w:val="center"/>
        <w:rPr>
          <w:b/>
        </w:rPr>
      </w:pPr>
      <w:r>
        <w:rPr>
          <w:b/>
        </w:rPr>
        <w:t>για την</w:t>
      </w:r>
      <w:r w:rsidR="00331E80" w:rsidRPr="00331E80">
        <w:rPr>
          <w:b/>
        </w:rPr>
        <w:t xml:space="preserve"> </w:t>
      </w:r>
      <w:r w:rsidR="00C97652">
        <w:rPr>
          <w:b/>
        </w:rPr>
        <w:t>προμήθεια</w:t>
      </w:r>
      <w:r w:rsidR="002764D0">
        <w:rPr>
          <w:b/>
        </w:rPr>
        <w:t xml:space="preserve"> εργαστηριακών ειδών για τις ανάγκες των ερευνητικών και εκπαιδευτικών δραστηριοτήτων </w:t>
      </w:r>
      <w:r w:rsidR="00380AF7">
        <w:rPr>
          <w:b/>
        </w:rPr>
        <w:t xml:space="preserve">της Επίκουρης Καθηγήτριας </w:t>
      </w:r>
      <w:proofErr w:type="spellStart"/>
      <w:r w:rsidR="00380AF7">
        <w:rPr>
          <w:b/>
        </w:rPr>
        <w:t>Ραυτογιάννη</w:t>
      </w:r>
      <w:proofErr w:type="spellEnd"/>
      <w:r w:rsidR="00380AF7">
        <w:rPr>
          <w:b/>
        </w:rPr>
        <w:t xml:space="preserve"> Ανδρονίκης </w:t>
      </w:r>
      <w:r w:rsidR="002764D0">
        <w:rPr>
          <w:b/>
        </w:rPr>
        <w:t xml:space="preserve">στο Εργαστήριο </w:t>
      </w:r>
      <w:proofErr w:type="spellStart"/>
      <w:r w:rsidR="002764D0">
        <w:rPr>
          <w:b/>
        </w:rPr>
        <w:t>νευροεπιστημών</w:t>
      </w:r>
      <w:proofErr w:type="spellEnd"/>
      <w:r w:rsidR="002764D0">
        <w:rPr>
          <w:b/>
        </w:rPr>
        <w:t xml:space="preserve"> της συμπεριφοράς</w:t>
      </w:r>
      <w:r w:rsidR="007B5937">
        <w:rPr>
          <w:b/>
        </w:rPr>
        <w:t xml:space="preserve"> του Τμήματος Ψυχολογίας</w:t>
      </w:r>
      <w:r w:rsidR="008E7E79">
        <w:rPr>
          <w:b/>
        </w:rPr>
        <w:t xml:space="preserve"> του Πανεπιστημίου Κρήτης</w:t>
      </w:r>
    </w:p>
    <w:p w14:paraId="6A59CB03" w14:textId="77777777" w:rsidR="001D2663" w:rsidRDefault="001D2663" w:rsidP="00DF3D75">
      <w:pPr>
        <w:pStyle w:val="a4"/>
        <w:spacing w:line="280" w:lineRule="atLeast"/>
        <w:ind w:right="-285"/>
        <w:jc w:val="center"/>
        <w:rPr>
          <w:b/>
        </w:rPr>
      </w:pPr>
    </w:p>
    <w:p w14:paraId="6E322232" w14:textId="77777777" w:rsidR="00D13F94" w:rsidRPr="00D36018" w:rsidRDefault="00D13F94" w:rsidP="00D13F94">
      <w:pPr>
        <w:pStyle w:val="a4"/>
        <w:spacing w:line="280" w:lineRule="atLeast"/>
        <w:ind w:right="-285"/>
        <w:rPr>
          <w:bCs/>
        </w:rPr>
      </w:pPr>
      <w:r w:rsidRPr="00D36018">
        <w:rPr>
          <w:bCs/>
        </w:rPr>
        <w:t>Το Πανεπιστήμιο Κρήτης λαμβάνοντας υπόψη :</w:t>
      </w:r>
    </w:p>
    <w:p w14:paraId="6ADE019E" w14:textId="77777777" w:rsidR="00A944E1" w:rsidRDefault="00D13F94" w:rsidP="00F96D2E">
      <w:pPr>
        <w:pStyle w:val="a4"/>
        <w:numPr>
          <w:ilvl w:val="0"/>
          <w:numId w:val="1"/>
        </w:numPr>
        <w:tabs>
          <w:tab w:val="left" w:pos="284"/>
        </w:tabs>
        <w:spacing w:line="240" w:lineRule="auto"/>
        <w:ind w:left="284" w:right="-284" w:hanging="284"/>
        <w:rPr>
          <w:bCs/>
        </w:rPr>
      </w:pPr>
      <w:r w:rsidRPr="00A944E1">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p>
    <w:p w14:paraId="5FE020B0" w14:textId="2418EA37" w:rsidR="00D13F94" w:rsidRPr="00A944E1" w:rsidRDefault="00D13F94" w:rsidP="00F96D2E">
      <w:pPr>
        <w:pStyle w:val="a4"/>
        <w:numPr>
          <w:ilvl w:val="0"/>
          <w:numId w:val="1"/>
        </w:numPr>
        <w:tabs>
          <w:tab w:val="left" w:pos="284"/>
        </w:tabs>
        <w:spacing w:line="240" w:lineRule="auto"/>
        <w:ind w:left="284" w:right="-284" w:hanging="284"/>
        <w:rPr>
          <w:bCs/>
        </w:rPr>
      </w:pPr>
      <w:r w:rsidRPr="00A944E1">
        <w:rPr>
          <w:bCs/>
        </w:rPr>
        <w:t xml:space="preserve">την υπ’ </w:t>
      </w:r>
      <w:proofErr w:type="spellStart"/>
      <w:r w:rsidRPr="00A944E1">
        <w:rPr>
          <w:bCs/>
        </w:rPr>
        <w:t>αριθμ</w:t>
      </w:r>
      <w:proofErr w:type="spellEnd"/>
      <w:r w:rsidRPr="00A944E1">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p>
    <w:p w14:paraId="3452EE15" w14:textId="77777777" w:rsidR="00D13F94" w:rsidRDefault="00D13F94" w:rsidP="00F96D2E">
      <w:pPr>
        <w:pStyle w:val="a4"/>
        <w:numPr>
          <w:ilvl w:val="0"/>
          <w:numId w:val="1"/>
        </w:numPr>
        <w:tabs>
          <w:tab w:val="left" w:pos="284"/>
        </w:tabs>
        <w:spacing w:line="240" w:lineRule="auto"/>
        <w:ind w:left="284" w:right="-284" w:hanging="284"/>
        <w:rPr>
          <w:bCs/>
        </w:rPr>
      </w:pPr>
      <w:r w:rsidRPr="00D36018">
        <w:rPr>
          <w:bCs/>
        </w:rPr>
        <w:t xml:space="preserve">την υπ’ </w:t>
      </w:r>
      <w:proofErr w:type="spellStart"/>
      <w:r w:rsidRPr="00D36018">
        <w:rPr>
          <w:bCs/>
        </w:rPr>
        <w:t>αρ</w:t>
      </w:r>
      <w:proofErr w:type="spellEnd"/>
      <w:r w:rsidRPr="00D36018">
        <w:rPr>
          <w:bCs/>
        </w:rPr>
        <w:t xml:space="preserve">. </w:t>
      </w:r>
      <w:proofErr w:type="spellStart"/>
      <w:r w:rsidRPr="00D36018">
        <w:rPr>
          <w:bCs/>
        </w:rPr>
        <w:t>πρωτ</w:t>
      </w:r>
      <w:proofErr w:type="spellEnd"/>
      <w:r w:rsidRPr="00D36018">
        <w:rPr>
          <w:bCs/>
        </w:rPr>
        <w:t xml:space="preserve"> 25854/803/26-10-2022 (ΑΔΑ: Ω3ΡΘ469Β7Γ-05Σ) και την τροποποίηση αυτής με  </w:t>
      </w:r>
      <w:proofErr w:type="spellStart"/>
      <w:r w:rsidRPr="00D36018">
        <w:rPr>
          <w:bCs/>
        </w:rPr>
        <w:t>αρ</w:t>
      </w:r>
      <w:proofErr w:type="spellEnd"/>
      <w:r w:rsidRPr="00D36018">
        <w:rPr>
          <w:bCs/>
        </w:rPr>
        <w:t xml:space="preserve">. </w:t>
      </w:r>
      <w:proofErr w:type="spellStart"/>
      <w:r w:rsidRPr="00D36018">
        <w:rPr>
          <w:bCs/>
        </w:rPr>
        <w:t>πρωτ</w:t>
      </w:r>
      <w:proofErr w:type="spellEnd"/>
      <w:r w:rsidRPr="00D36018">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ν.4412/2016 δυνάμει των διατάξεων του ν.4957/2022,</w:t>
      </w:r>
    </w:p>
    <w:p w14:paraId="0ADBB209" w14:textId="15877FC1" w:rsidR="00D13F94" w:rsidRPr="00EB367D" w:rsidRDefault="00D13F94" w:rsidP="00F96D2E">
      <w:pPr>
        <w:pStyle w:val="a4"/>
        <w:numPr>
          <w:ilvl w:val="0"/>
          <w:numId w:val="1"/>
        </w:numPr>
        <w:tabs>
          <w:tab w:val="left" w:pos="1134"/>
        </w:tabs>
        <w:autoSpaceDE w:val="0"/>
        <w:autoSpaceDN w:val="0"/>
        <w:adjustRightInd w:val="0"/>
        <w:spacing w:line="240" w:lineRule="auto"/>
        <w:ind w:left="284" w:right="-284" w:hanging="284"/>
      </w:pPr>
      <w:r>
        <w:rPr>
          <w:bCs/>
        </w:rPr>
        <w:t>τ</w:t>
      </w:r>
      <w:r w:rsidR="00C91921">
        <w:rPr>
          <w:bCs/>
          <w:lang w:val="en-US"/>
        </w:rPr>
        <w:t>o</w:t>
      </w:r>
      <w:r w:rsidRPr="00EB367D">
        <w:rPr>
          <w:bCs/>
        </w:rPr>
        <w:t xml:space="preserve"> υπ’ αριθ. </w:t>
      </w:r>
      <w:proofErr w:type="spellStart"/>
      <w:r w:rsidRPr="00EB367D">
        <w:rPr>
          <w:bCs/>
        </w:rPr>
        <w:t>πρωτ</w:t>
      </w:r>
      <w:proofErr w:type="spellEnd"/>
      <w:r w:rsidRPr="00EB367D">
        <w:rPr>
          <w:bCs/>
        </w:rPr>
        <w:t xml:space="preserve">. </w:t>
      </w:r>
      <w:r>
        <w:rPr>
          <w:bCs/>
        </w:rPr>
        <w:t>22533/08-10-2025</w:t>
      </w:r>
      <w:r w:rsidRPr="00EB367D">
        <w:rPr>
          <w:bCs/>
        </w:rPr>
        <w:t xml:space="preserve"> (ΑΔΑΜ: </w:t>
      </w:r>
      <w:r w:rsidRPr="00EB367D">
        <w:t>2</w:t>
      </w:r>
      <w:r>
        <w:t>5</w:t>
      </w:r>
      <w:r>
        <w:rPr>
          <w:lang w:val="en-US"/>
        </w:rPr>
        <w:t>REQ</w:t>
      </w:r>
      <w:r>
        <w:t>017730193 2025-10-14</w:t>
      </w:r>
      <w:r w:rsidRPr="00EB367D">
        <w:t>)</w:t>
      </w:r>
      <w:r w:rsidR="00BC498F">
        <w:t xml:space="preserve"> </w:t>
      </w:r>
      <w:r w:rsidR="00C91921">
        <w:t>αίτημα</w:t>
      </w:r>
      <w:r w:rsidRPr="00EB367D">
        <w:rPr>
          <w:bCs/>
        </w:rPr>
        <w:t xml:space="preserve"> </w:t>
      </w:r>
      <w:r>
        <w:rPr>
          <w:bCs/>
        </w:rPr>
        <w:t>του Τμήματος Ψυχολογίας,</w:t>
      </w:r>
    </w:p>
    <w:p w14:paraId="2949A6DD" w14:textId="202E2222" w:rsidR="00D13F94" w:rsidRPr="00547787" w:rsidRDefault="00D13F94" w:rsidP="00F96D2E">
      <w:pPr>
        <w:pStyle w:val="a4"/>
        <w:numPr>
          <w:ilvl w:val="0"/>
          <w:numId w:val="1"/>
        </w:numPr>
        <w:tabs>
          <w:tab w:val="left" w:pos="1134"/>
        </w:tabs>
        <w:autoSpaceDE w:val="0"/>
        <w:autoSpaceDN w:val="0"/>
        <w:adjustRightInd w:val="0"/>
        <w:spacing w:line="280" w:lineRule="atLeast"/>
        <w:ind w:left="284" w:right="-285" w:hanging="284"/>
      </w:pPr>
      <w:r>
        <w:rPr>
          <w:bCs/>
        </w:rPr>
        <w:t>τ</w:t>
      </w:r>
      <w:r w:rsidR="00C91921">
        <w:rPr>
          <w:bCs/>
        </w:rPr>
        <w:t>ην</w:t>
      </w:r>
      <w:r w:rsidRPr="00547787">
        <w:rPr>
          <w:bCs/>
        </w:rPr>
        <w:t xml:space="preserve"> υπ’ </w:t>
      </w:r>
      <w:proofErr w:type="spellStart"/>
      <w:r w:rsidRPr="00547787">
        <w:rPr>
          <w:bCs/>
        </w:rPr>
        <w:t>αρ</w:t>
      </w:r>
      <w:proofErr w:type="spellEnd"/>
      <w:r w:rsidRPr="00547787">
        <w:rPr>
          <w:bCs/>
        </w:rPr>
        <w:t xml:space="preserve">. </w:t>
      </w:r>
      <w:proofErr w:type="spellStart"/>
      <w:r w:rsidRPr="00547787">
        <w:rPr>
          <w:bCs/>
        </w:rPr>
        <w:t>πρωτ</w:t>
      </w:r>
      <w:proofErr w:type="spellEnd"/>
      <w:r w:rsidRPr="00547787">
        <w:rPr>
          <w:bCs/>
        </w:rPr>
        <w:t>.</w:t>
      </w:r>
      <w:r w:rsidRPr="00547787">
        <w:rPr>
          <w:b/>
          <w:bCs/>
        </w:rPr>
        <w:t xml:space="preserve"> </w:t>
      </w:r>
      <w:r w:rsidR="00A944E1">
        <w:t>23536/16-10-2025</w:t>
      </w:r>
      <w:r w:rsidRPr="00547787">
        <w:t xml:space="preserve"> (ΑΔΑ:</w:t>
      </w:r>
      <w:r>
        <w:t xml:space="preserve"> Ψ13Δ469Β7Γ-71Ψ</w:t>
      </w:r>
      <w:r w:rsidRPr="00547787">
        <w:t xml:space="preserve">, ΑΔΑΜ: </w:t>
      </w:r>
      <w:r w:rsidRPr="00A944E1">
        <w:t>25</w:t>
      </w:r>
      <w:r w:rsidRPr="00A944E1">
        <w:rPr>
          <w:lang w:val="en-US"/>
        </w:rPr>
        <w:t>REQ</w:t>
      </w:r>
      <w:r w:rsidRPr="00A944E1">
        <w:t>017</w:t>
      </w:r>
      <w:r w:rsidR="00A944E1">
        <w:t>767566 2025-10-20</w:t>
      </w:r>
      <w:r w:rsidRPr="00547787">
        <w:t xml:space="preserve">) </w:t>
      </w:r>
      <w:r w:rsidR="00C91921">
        <w:t xml:space="preserve">Απόφαση </w:t>
      </w:r>
      <w:r w:rsidRPr="00547787">
        <w:t>έγκρισης δαπάνης,</w:t>
      </w:r>
    </w:p>
    <w:p w14:paraId="1B9E75AA" w14:textId="5C52606D" w:rsidR="00380AF7" w:rsidRDefault="00D13F94" w:rsidP="00F96D2E">
      <w:pPr>
        <w:pStyle w:val="a4"/>
        <w:numPr>
          <w:ilvl w:val="0"/>
          <w:numId w:val="1"/>
        </w:numPr>
        <w:tabs>
          <w:tab w:val="left" w:pos="1134"/>
        </w:tabs>
        <w:autoSpaceDE w:val="0"/>
        <w:autoSpaceDN w:val="0"/>
        <w:adjustRightInd w:val="0"/>
        <w:spacing w:line="280" w:lineRule="atLeast"/>
        <w:ind w:left="284" w:right="-285" w:hanging="284"/>
      </w:pPr>
      <w:r>
        <w:rPr>
          <w:bCs/>
        </w:rPr>
        <w:t>τ</w:t>
      </w:r>
      <w:r w:rsidR="00C91921">
        <w:rPr>
          <w:bCs/>
        </w:rPr>
        <w:t>ην</w:t>
      </w:r>
      <w:r w:rsidRPr="00547787">
        <w:rPr>
          <w:bCs/>
        </w:rPr>
        <w:t xml:space="preserve"> υπ’ αριθ. </w:t>
      </w:r>
      <w:r w:rsidR="00A944E1">
        <w:rPr>
          <w:bCs/>
        </w:rPr>
        <w:t>477</w:t>
      </w:r>
      <w:r w:rsidRPr="00547787">
        <w:rPr>
          <w:bCs/>
        </w:rPr>
        <w:t xml:space="preserve">, με </w:t>
      </w:r>
      <w:proofErr w:type="spellStart"/>
      <w:r w:rsidRPr="00547787">
        <w:rPr>
          <w:bCs/>
        </w:rPr>
        <w:t>αρ</w:t>
      </w:r>
      <w:proofErr w:type="spellEnd"/>
      <w:r w:rsidRPr="00547787">
        <w:rPr>
          <w:bCs/>
        </w:rPr>
        <w:t xml:space="preserve">. </w:t>
      </w:r>
      <w:proofErr w:type="spellStart"/>
      <w:r w:rsidRPr="00547787">
        <w:rPr>
          <w:bCs/>
        </w:rPr>
        <w:t>πρωτ</w:t>
      </w:r>
      <w:proofErr w:type="spellEnd"/>
      <w:r>
        <w:rPr>
          <w:bCs/>
        </w:rPr>
        <w:t>.</w:t>
      </w:r>
      <w:r w:rsidRPr="00547787">
        <w:rPr>
          <w:bCs/>
        </w:rPr>
        <w:t xml:space="preserve"> </w:t>
      </w:r>
      <w:r w:rsidR="00A944E1">
        <w:rPr>
          <w:bCs/>
        </w:rPr>
        <w:t>23837/20-10-2025</w:t>
      </w:r>
      <w:r w:rsidRPr="00547787">
        <w:t xml:space="preserve"> (ΑΔΑ</w:t>
      </w:r>
      <w:r>
        <w:t>:</w:t>
      </w:r>
      <w:r w:rsidRPr="00D05157">
        <w:t xml:space="preserve"> </w:t>
      </w:r>
      <w:r w:rsidR="00A944E1">
        <w:t>971Τ469Β7Γ-5Χ4</w:t>
      </w:r>
      <w:r w:rsidRPr="00547787">
        <w:t xml:space="preserve">, ΑΔΑΜ: </w:t>
      </w:r>
      <w:r w:rsidRPr="00A944E1">
        <w:t>25</w:t>
      </w:r>
      <w:r w:rsidRPr="00A944E1">
        <w:rPr>
          <w:lang w:val="en-US"/>
        </w:rPr>
        <w:t>REQ</w:t>
      </w:r>
      <w:r w:rsidRPr="00A944E1">
        <w:t>017</w:t>
      </w:r>
      <w:r w:rsidR="00A944E1">
        <w:t>767566 2025-10-20</w:t>
      </w:r>
      <w:r w:rsidRPr="005F0CA7">
        <w:t>)</w:t>
      </w:r>
      <w:r w:rsidRPr="00547787">
        <w:t xml:space="preserve"> </w:t>
      </w:r>
      <w:r w:rsidR="00C91921">
        <w:t xml:space="preserve">Απόφαση </w:t>
      </w:r>
      <w:r w:rsidRPr="00547787">
        <w:t>Ανάληψης Υποχρέωσης</w:t>
      </w:r>
      <w:r w:rsidR="00176258">
        <w:t>,</w:t>
      </w:r>
    </w:p>
    <w:p w14:paraId="3D3A989B" w14:textId="53111FB0" w:rsidR="00C91921" w:rsidRDefault="00C91921" w:rsidP="00F96D2E">
      <w:pPr>
        <w:pStyle w:val="a4"/>
        <w:numPr>
          <w:ilvl w:val="0"/>
          <w:numId w:val="1"/>
        </w:numPr>
        <w:tabs>
          <w:tab w:val="left" w:pos="1134"/>
        </w:tabs>
        <w:autoSpaceDE w:val="0"/>
        <w:autoSpaceDN w:val="0"/>
        <w:adjustRightInd w:val="0"/>
        <w:spacing w:line="280" w:lineRule="atLeast"/>
        <w:ind w:left="284" w:right="-285" w:hanging="284"/>
      </w:pPr>
      <w:r>
        <w:t>την υπ’ αριθ. 26424/06-11-2025 (ΑΔΑΜ: 25</w:t>
      </w:r>
      <w:r>
        <w:rPr>
          <w:lang w:val="en-US"/>
        </w:rPr>
        <w:t>PROC</w:t>
      </w:r>
      <w:r w:rsidRPr="00C91921">
        <w:t>0</w:t>
      </w:r>
      <w:r>
        <w:t>17877428 2025-11-06) Πρόσκληση Εκδήλωσης Ενδιαφέροντος,</w:t>
      </w:r>
    </w:p>
    <w:p w14:paraId="51C843BE" w14:textId="3D881C6E" w:rsidR="00D13F94" w:rsidRDefault="00380AF7" w:rsidP="00F96D2E">
      <w:pPr>
        <w:pStyle w:val="a4"/>
        <w:numPr>
          <w:ilvl w:val="0"/>
          <w:numId w:val="1"/>
        </w:numPr>
        <w:tabs>
          <w:tab w:val="left" w:pos="1134"/>
        </w:tabs>
        <w:autoSpaceDE w:val="0"/>
        <w:autoSpaceDN w:val="0"/>
        <w:adjustRightInd w:val="0"/>
        <w:spacing w:line="280" w:lineRule="atLeast"/>
        <w:ind w:left="284" w:right="-285" w:hanging="284"/>
      </w:pPr>
      <w:r>
        <w:t>την υπ’ αριθ. 27419/13-11-2025 (ΑΔΑ: ΕΩ17469Β7Γ-ΟΦΜ, ΑΔΑΜ: 25</w:t>
      </w:r>
      <w:r>
        <w:rPr>
          <w:lang w:val="en-US"/>
        </w:rPr>
        <w:t>AWRD</w:t>
      </w:r>
      <w:r w:rsidRPr="00380AF7">
        <w:t xml:space="preserve">017927898 2025-11-13) </w:t>
      </w:r>
      <w:r>
        <w:t xml:space="preserve">Απόφαση </w:t>
      </w:r>
      <w:r w:rsidR="00C91921">
        <w:t>κήρυξης ά</w:t>
      </w:r>
      <w:r>
        <w:t>γονης</w:t>
      </w:r>
      <w:r w:rsidR="00C91921">
        <w:t xml:space="preserve"> της διαδικασίας για τα είδη της Ομάδας 1</w:t>
      </w:r>
      <w:r w:rsidR="004F1515">
        <w:t>,</w:t>
      </w:r>
      <w:r w:rsidR="00D13F94" w:rsidRPr="00547787">
        <w:t xml:space="preserve"> </w:t>
      </w:r>
    </w:p>
    <w:p w14:paraId="51757493" w14:textId="77777777" w:rsidR="00D13F94" w:rsidRDefault="00D13F94" w:rsidP="00D13F94">
      <w:pPr>
        <w:pStyle w:val="a4"/>
        <w:tabs>
          <w:tab w:val="left" w:pos="1134"/>
        </w:tabs>
        <w:autoSpaceDE w:val="0"/>
        <w:autoSpaceDN w:val="0"/>
        <w:adjustRightInd w:val="0"/>
        <w:spacing w:line="280" w:lineRule="atLeast"/>
        <w:ind w:left="284" w:right="-285"/>
      </w:pPr>
    </w:p>
    <w:p w14:paraId="0B13F7E1" w14:textId="77777777" w:rsidR="00D13F94" w:rsidRPr="00F25924" w:rsidRDefault="00D13F94" w:rsidP="00D13F94">
      <w:pPr>
        <w:tabs>
          <w:tab w:val="left" w:pos="567"/>
        </w:tabs>
        <w:autoSpaceDE w:val="0"/>
        <w:autoSpaceDN w:val="0"/>
        <w:adjustRightInd w:val="0"/>
        <w:jc w:val="center"/>
        <w:rPr>
          <w:b/>
          <w:sz w:val="24"/>
          <w:szCs w:val="24"/>
        </w:rPr>
      </w:pPr>
      <w:r w:rsidRPr="00F25924">
        <w:rPr>
          <w:b/>
          <w:sz w:val="24"/>
          <w:szCs w:val="24"/>
        </w:rPr>
        <w:t>ΠΡΟΣΚΑΛΕΙ</w:t>
      </w:r>
    </w:p>
    <w:p w14:paraId="181935BA" w14:textId="25F599DE" w:rsidR="00D13F94" w:rsidRPr="00F25924" w:rsidRDefault="00D13F94" w:rsidP="00D13F94">
      <w:pPr>
        <w:tabs>
          <w:tab w:val="left" w:pos="567"/>
        </w:tabs>
        <w:autoSpaceDE w:val="0"/>
        <w:autoSpaceDN w:val="0"/>
        <w:adjustRightInd w:val="0"/>
        <w:ind w:right="-285"/>
        <w:jc w:val="both"/>
        <w:rPr>
          <w:bCs/>
          <w:sz w:val="24"/>
          <w:szCs w:val="24"/>
        </w:rPr>
      </w:pPr>
      <w:r w:rsidRPr="00F25924">
        <w:rPr>
          <w:bCs/>
          <w:sz w:val="24"/>
          <w:szCs w:val="24"/>
        </w:rPr>
        <w:lastRenderedPageBreak/>
        <w:t xml:space="preserve">κάθε ενδιαφερόμενο φυσικό ή νομικό πρόσωπο, το οποίο είναι σε θέση να προσφέρει </w:t>
      </w:r>
      <w:r>
        <w:rPr>
          <w:bCs/>
          <w:sz w:val="24"/>
          <w:szCs w:val="24"/>
        </w:rPr>
        <w:t xml:space="preserve">τα είδη </w:t>
      </w:r>
      <w:r w:rsidRPr="00F25924">
        <w:rPr>
          <w:bCs/>
          <w:sz w:val="24"/>
          <w:szCs w:val="24"/>
        </w:rPr>
        <w:t>όπως εκδηλώσει το ενδιαφέρον του, έως και τη</w:t>
      </w:r>
      <w:r w:rsidRPr="005F0CA7">
        <w:rPr>
          <w:bCs/>
          <w:sz w:val="24"/>
          <w:szCs w:val="24"/>
        </w:rPr>
        <w:t xml:space="preserve">ν </w:t>
      </w:r>
      <w:r w:rsidR="00CC1F3F">
        <w:rPr>
          <w:b/>
          <w:sz w:val="24"/>
          <w:szCs w:val="24"/>
        </w:rPr>
        <w:t>Τετάρτη</w:t>
      </w:r>
      <w:r w:rsidR="00A944E1">
        <w:rPr>
          <w:b/>
          <w:sz w:val="24"/>
          <w:szCs w:val="24"/>
        </w:rPr>
        <w:t xml:space="preserve"> </w:t>
      </w:r>
      <w:r w:rsidR="00CC1F3F">
        <w:rPr>
          <w:b/>
          <w:sz w:val="24"/>
          <w:szCs w:val="24"/>
        </w:rPr>
        <w:t>26</w:t>
      </w:r>
      <w:r w:rsidR="00A944E1">
        <w:rPr>
          <w:b/>
          <w:sz w:val="24"/>
          <w:szCs w:val="24"/>
        </w:rPr>
        <w:t xml:space="preserve"> Νοεμβρίου</w:t>
      </w:r>
      <w:r w:rsidRPr="00AB5557">
        <w:rPr>
          <w:b/>
          <w:sz w:val="24"/>
          <w:szCs w:val="24"/>
        </w:rPr>
        <w:t xml:space="preserve"> 2025</w:t>
      </w:r>
      <w:r w:rsidRPr="00AB5557">
        <w:rPr>
          <w:bCs/>
          <w:sz w:val="24"/>
          <w:szCs w:val="24"/>
        </w:rPr>
        <w:t xml:space="preserve">, </w:t>
      </w:r>
      <w:r w:rsidRPr="00AB5557">
        <w:rPr>
          <w:b/>
          <w:sz w:val="24"/>
          <w:szCs w:val="24"/>
        </w:rPr>
        <w:t>και ώρα 10:00 π.μ.</w:t>
      </w:r>
      <w:r w:rsidRPr="00AB5557">
        <w:rPr>
          <w:bCs/>
          <w:sz w:val="24"/>
          <w:szCs w:val="24"/>
        </w:rPr>
        <w:t>,</w:t>
      </w:r>
      <w:r w:rsidRPr="005F0CA7">
        <w:rPr>
          <w:bCs/>
          <w:sz w:val="24"/>
          <w:szCs w:val="24"/>
        </w:rPr>
        <w:t xml:space="preserve"> </w:t>
      </w:r>
      <w:r w:rsidRPr="005F0CA7">
        <w:rPr>
          <w:sz w:val="24"/>
          <w:szCs w:val="24"/>
        </w:rPr>
        <w:t>υποβάλλοντας</w:t>
      </w:r>
      <w:r w:rsidRPr="000D4FDB">
        <w:rPr>
          <w:sz w:val="24"/>
          <w:szCs w:val="24"/>
        </w:rPr>
        <w:t xml:space="preserve"> προσφορά στο Τμήμα Προμηθειών του Πανεπιστημίου Κρήτης στην Πανεπιστημιούπολη Ρεθύμνου (κτήριο Διοίκησης Β1, ισόγειο), αφού πρώτα λάβ</w:t>
      </w:r>
      <w:r>
        <w:rPr>
          <w:sz w:val="24"/>
          <w:szCs w:val="24"/>
        </w:rPr>
        <w:t>ει</w:t>
      </w:r>
      <w:r w:rsidRPr="000D4FDB">
        <w:rPr>
          <w:sz w:val="24"/>
          <w:szCs w:val="24"/>
        </w:rPr>
        <w:t xml:space="preserve"> αριθμό πρωτοκόλλου από το Τμήμα Πρωτοκόλλου (κτήριο Διοίκησης Β1, 1</w:t>
      </w:r>
      <w:r w:rsidRPr="000D4FDB">
        <w:rPr>
          <w:sz w:val="24"/>
          <w:szCs w:val="24"/>
          <w:vertAlign w:val="superscript"/>
        </w:rPr>
        <w:t>ος</w:t>
      </w:r>
      <w:r w:rsidRPr="000D4FDB">
        <w:rPr>
          <w:sz w:val="24"/>
          <w:szCs w:val="24"/>
        </w:rPr>
        <w:t xml:space="preserve"> όροφος).</w:t>
      </w:r>
    </w:p>
    <w:p w14:paraId="146BEA9B" w14:textId="77777777" w:rsidR="00D13F94" w:rsidRPr="00D13F94" w:rsidRDefault="00D13F94" w:rsidP="00D13F94">
      <w:pPr>
        <w:pStyle w:val="a4"/>
        <w:tabs>
          <w:tab w:val="left" w:pos="1134"/>
        </w:tabs>
        <w:autoSpaceDE w:val="0"/>
        <w:autoSpaceDN w:val="0"/>
        <w:adjustRightInd w:val="0"/>
        <w:spacing w:line="280" w:lineRule="atLeast"/>
        <w:ind w:left="284" w:right="-285"/>
      </w:pPr>
    </w:p>
    <w:p w14:paraId="676A259F" w14:textId="0277AF46" w:rsidR="00D13F94" w:rsidRPr="00580D91" w:rsidRDefault="00D13F94" w:rsidP="00AE0B38">
      <w:pPr>
        <w:pStyle w:val="3"/>
        <w:spacing w:after="200"/>
        <w:contextualSpacing/>
        <w:jc w:val="center"/>
        <w:rPr>
          <w:b w:val="0"/>
        </w:rPr>
      </w:pPr>
      <w:r w:rsidRPr="00D13F94">
        <w:rPr>
          <w:rFonts w:ascii="Times New Roman" w:hAnsi="Times New Roman"/>
          <w:bCs/>
          <w:sz w:val="24"/>
          <w:szCs w:val="24"/>
        </w:rPr>
        <w:t>Άρθρο 1: Στοιχεία της Πρόσκλησης</w:t>
      </w:r>
    </w:p>
    <w:tbl>
      <w:tblPr>
        <w:tblStyle w:val="a8"/>
        <w:tblW w:w="9634" w:type="dxa"/>
        <w:tblLayout w:type="fixed"/>
        <w:tblLook w:val="04A0" w:firstRow="1" w:lastRow="0" w:firstColumn="1" w:lastColumn="0" w:noHBand="0" w:noVBand="1"/>
      </w:tblPr>
      <w:tblGrid>
        <w:gridCol w:w="3823"/>
        <w:gridCol w:w="5811"/>
      </w:tblGrid>
      <w:tr w:rsidR="00DF3D75" w:rsidRPr="00580D91" w14:paraId="7DC8469E" w14:textId="77777777" w:rsidTr="00491A3F">
        <w:tc>
          <w:tcPr>
            <w:tcW w:w="3823"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5811"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491A3F">
        <w:tc>
          <w:tcPr>
            <w:tcW w:w="3823"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EB367D" w14:paraId="70907A9E" w14:textId="77777777" w:rsidTr="00491A3F">
        <w:tc>
          <w:tcPr>
            <w:tcW w:w="3823" w:type="dxa"/>
          </w:tcPr>
          <w:p w14:paraId="6373196A" w14:textId="6551906B" w:rsidR="00DF3D75" w:rsidRPr="006913A4" w:rsidRDefault="002328A3" w:rsidP="00602974">
            <w:pPr>
              <w:spacing w:after="120"/>
              <w:contextualSpacing/>
              <w:jc w:val="both"/>
              <w:rPr>
                <w:sz w:val="24"/>
                <w:szCs w:val="24"/>
              </w:rPr>
            </w:pPr>
            <w:r w:rsidRPr="00580D91">
              <w:rPr>
                <w:b/>
                <w:bCs/>
                <w:sz w:val="24"/>
                <w:szCs w:val="24"/>
              </w:rPr>
              <w:t>ΑΑΥ</w:t>
            </w:r>
            <w:r w:rsidR="006913A4">
              <w:rPr>
                <w:b/>
                <w:bCs/>
                <w:sz w:val="24"/>
                <w:szCs w:val="24"/>
              </w:rPr>
              <w:t xml:space="preserve"> </w:t>
            </w:r>
          </w:p>
        </w:tc>
        <w:tc>
          <w:tcPr>
            <w:tcW w:w="5811" w:type="dxa"/>
          </w:tcPr>
          <w:p w14:paraId="51A2E0A2" w14:textId="1E124D29" w:rsidR="00DF3D75" w:rsidRPr="002C0758" w:rsidRDefault="002C0758" w:rsidP="00602974">
            <w:pPr>
              <w:spacing w:after="120"/>
              <w:contextualSpacing/>
              <w:jc w:val="both"/>
              <w:rPr>
                <w:sz w:val="24"/>
                <w:szCs w:val="24"/>
              </w:rPr>
            </w:pPr>
            <w:r>
              <w:rPr>
                <w:sz w:val="24"/>
                <w:szCs w:val="24"/>
              </w:rPr>
              <w:t>477</w:t>
            </w:r>
            <w:r w:rsidR="00615AFB" w:rsidRPr="005F0CA7">
              <w:rPr>
                <w:sz w:val="24"/>
                <w:szCs w:val="24"/>
              </w:rPr>
              <w:t xml:space="preserve"> (με αριθ. </w:t>
            </w:r>
            <w:proofErr w:type="spellStart"/>
            <w:r w:rsidR="00615AFB" w:rsidRPr="005F0CA7">
              <w:rPr>
                <w:sz w:val="24"/>
                <w:szCs w:val="24"/>
              </w:rPr>
              <w:t>πρωτ</w:t>
            </w:r>
            <w:proofErr w:type="spellEnd"/>
            <w:r w:rsidR="00615AFB" w:rsidRPr="005F0CA7">
              <w:rPr>
                <w:sz w:val="24"/>
                <w:szCs w:val="24"/>
              </w:rPr>
              <w:t xml:space="preserve">. </w:t>
            </w:r>
            <w:r>
              <w:rPr>
                <w:sz w:val="24"/>
                <w:szCs w:val="24"/>
              </w:rPr>
              <w:t>23837/20-10-2025</w:t>
            </w:r>
            <w:r w:rsidR="00615AFB" w:rsidRPr="005F0CA7">
              <w:rPr>
                <w:sz w:val="24"/>
                <w:szCs w:val="24"/>
              </w:rPr>
              <w:t xml:space="preserve">, ΑΔΑ: </w:t>
            </w:r>
            <w:r>
              <w:rPr>
                <w:sz w:val="24"/>
                <w:szCs w:val="24"/>
              </w:rPr>
              <w:t>971Τ469Β7Γ-5Χ4</w:t>
            </w:r>
            <w:r w:rsidR="00615AFB" w:rsidRPr="005F0CA7">
              <w:rPr>
                <w:sz w:val="24"/>
                <w:szCs w:val="24"/>
              </w:rPr>
              <w:t>, ΑΔΑΜ</w:t>
            </w:r>
            <w:r>
              <w:rPr>
                <w:sz w:val="24"/>
                <w:szCs w:val="24"/>
              </w:rPr>
              <w:t>: 25</w:t>
            </w:r>
            <w:r>
              <w:rPr>
                <w:sz w:val="24"/>
                <w:szCs w:val="24"/>
                <w:lang w:val="en-US"/>
              </w:rPr>
              <w:t>REQ</w:t>
            </w:r>
            <w:r>
              <w:rPr>
                <w:sz w:val="24"/>
                <w:szCs w:val="24"/>
              </w:rPr>
              <w:t>017767566 2025-10-20</w:t>
            </w:r>
            <w:r w:rsidR="00C91921">
              <w:rPr>
                <w:sz w:val="24"/>
                <w:szCs w:val="24"/>
              </w:rPr>
              <w:t>)</w:t>
            </w:r>
          </w:p>
        </w:tc>
      </w:tr>
      <w:tr w:rsidR="00DF3D75" w:rsidRPr="00580D91" w14:paraId="404A8694" w14:textId="77777777" w:rsidTr="00491A3F">
        <w:tc>
          <w:tcPr>
            <w:tcW w:w="3823" w:type="dxa"/>
          </w:tcPr>
          <w:p w14:paraId="71BD0272" w14:textId="77777777" w:rsidR="00DF3D75" w:rsidRPr="00580D91" w:rsidRDefault="00DF3D75" w:rsidP="00602974">
            <w:pPr>
              <w:spacing w:after="120"/>
              <w:contextualSpacing/>
              <w:jc w:val="both"/>
              <w:rPr>
                <w:sz w:val="24"/>
                <w:szCs w:val="24"/>
              </w:rPr>
            </w:pPr>
            <w:proofErr w:type="gramStart"/>
            <w:r w:rsidRPr="00580D91">
              <w:rPr>
                <w:b/>
                <w:bCs/>
                <w:sz w:val="24"/>
                <w:szCs w:val="24"/>
                <w:lang w:val="en-US"/>
              </w:rPr>
              <w:t>CPV :</w:t>
            </w:r>
            <w:proofErr w:type="gramEnd"/>
          </w:p>
        </w:tc>
        <w:tc>
          <w:tcPr>
            <w:tcW w:w="5811" w:type="dxa"/>
          </w:tcPr>
          <w:p w14:paraId="7B13C3C6" w14:textId="04331319" w:rsidR="00DF3D75" w:rsidRPr="006148A1" w:rsidRDefault="00ED6714" w:rsidP="0018197E">
            <w:pPr>
              <w:jc w:val="both"/>
              <w:rPr>
                <w:sz w:val="24"/>
                <w:szCs w:val="24"/>
              </w:rPr>
            </w:pPr>
            <w:r w:rsidRPr="00580D91">
              <w:rPr>
                <w:sz w:val="24"/>
                <w:szCs w:val="24"/>
              </w:rPr>
              <w:t>[</w:t>
            </w:r>
            <w:r w:rsidR="00436AC9">
              <w:rPr>
                <w:sz w:val="24"/>
                <w:szCs w:val="24"/>
              </w:rPr>
              <w:t>38000000-5</w:t>
            </w:r>
            <w:r w:rsidRPr="00580D91">
              <w:rPr>
                <w:sz w:val="24"/>
                <w:szCs w:val="24"/>
              </w:rPr>
              <w:t>]-</w:t>
            </w:r>
            <w:r w:rsidR="00941F5D" w:rsidRPr="00580D91">
              <w:rPr>
                <w:sz w:val="24"/>
                <w:szCs w:val="24"/>
              </w:rPr>
              <w:t xml:space="preserve"> </w:t>
            </w:r>
            <w:r w:rsidR="00436AC9" w:rsidRPr="00436AC9">
              <w:rPr>
                <w:sz w:val="24"/>
                <w:szCs w:val="24"/>
              </w:rPr>
              <w:t>Εξοπλισμός εργαστηριακός, οπτικός και ακριβείας</w:t>
            </w:r>
          </w:p>
        </w:tc>
      </w:tr>
      <w:tr w:rsidR="00AB52D4" w:rsidRPr="00580D91" w14:paraId="7ED1A3F0" w14:textId="77777777" w:rsidTr="00491A3F">
        <w:tc>
          <w:tcPr>
            <w:tcW w:w="3823"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5811" w:type="dxa"/>
          </w:tcPr>
          <w:p w14:paraId="4F01456F" w14:textId="2BACFBCA" w:rsidR="00AB52D4" w:rsidRPr="00C34298" w:rsidRDefault="002764D0" w:rsidP="0018197E">
            <w:pPr>
              <w:jc w:val="both"/>
              <w:rPr>
                <w:sz w:val="24"/>
                <w:szCs w:val="24"/>
              </w:rPr>
            </w:pPr>
            <w:r>
              <w:rPr>
                <w:sz w:val="24"/>
                <w:szCs w:val="24"/>
              </w:rPr>
              <w:t>4121</w:t>
            </w:r>
          </w:p>
        </w:tc>
      </w:tr>
      <w:tr w:rsidR="00DF3D75" w:rsidRPr="00580D91" w14:paraId="01172E7C" w14:textId="77777777" w:rsidTr="00491A3F">
        <w:tc>
          <w:tcPr>
            <w:tcW w:w="3823"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5811"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491A3F">
        <w:tc>
          <w:tcPr>
            <w:tcW w:w="3823"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5811" w:type="dxa"/>
          </w:tcPr>
          <w:p w14:paraId="66C1308C" w14:textId="4F3AE53A" w:rsidR="007B5937" w:rsidRPr="00982644" w:rsidRDefault="002764D0" w:rsidP="00CC1F3F">
            <w:pPr>
              <w:spacing w:after="120"/>
              <w:contextualSpacing/>
              <w:jc w:val="both"/>
              <w:rPr>
                <w:b/>
                <w:bCs/>
                <w:sz w:val="24"/>
                <w:szCs w:val="24"/>
              </w:rPr>
            </w:pPr>
            <w:r>
              <w:rPr>
                <w:b/>
                <w:bCs/>
                <w:sz w:val="24"/>
                <w:szCs w:val="24"/>
              </w:rPr>
              <w:t>757,52</w:t>
            </w:r>
            <w:r w:rsidR="00B94B14" w:rsidRPr="00982644">
              <w:rPr>
                <w:b/>
                <w:bCs/>
                <w:sz w:val="24"/>
                <w:szCs w:val="24"/>
              </w:rPr>
              <w:t>€</w:t>
            </w:r>
            <w:r w:rsidR="00ED6714" w:rsidRPr="00982644">
              <w:rPr>
                <w:b/>
                <w:bCs/>
                <w:sz w:val="24"/>
                <w:szCs w:val="24"/>
              </w:rPr>
              <w:t xml:space="preserve"> </w:t>
            </w:r>
            <w:proofErr w:type="spellStart"/>
            <w:r w:rsidR="00ED6714" w:rsidRPr="00982644">
              <w:rPr>
                <w:b/>
                <w:bCs/>
                <w:sz w:val="24"/>
                <w:szCs w:val="24"/>
              </w:rPr>
              <w:t>συμπ</w:t>
            </w:r>
            <w:proofErr w:type="spellEnd"/>
            <w:r w:rsidR="00ED6714" w:rsidRPr="00982644">
              <w:rPr>
                <w:b/>
                <w:bCs/>
                <w:sz w:val="24"/>
                <w:szCs w:val="24"/>
              </w:rPr>
              <w:t>/νου Φ.Π.Α.</w:t>
            </w:r>
          </w:p>
        </w:tc>
      </w:tr>
      <w:tr w:rsidR="00DF3D75" w:rsidRPr="00580D91" w14:paraId="6762BF5F" w14:textId="77777777" w:rsidTr="00491A3F">
        <w:tc>
          <w:tcPr>
            <w:tcW w:w="3823"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60C1017B" w14:textId="55284498" w:rsidR="00DF3D75" w:rsidRPr="00792624" w:rsidRDefault="00CC1F3F" w:rsidP="00CC16E6">
            <w:pPr>
              <w:spacing w:after="120"/>
              <w:contextualSpacing/>
              <w:jc w:val="both"/>
              <w:rPr>
                <w:b/>
                <w:sz w:val="24"/>
                <w:szCs w:val="24"/>
                <w:highlight w:val="yellow"/>
              </w:rPr>
            </w:pPr>
            <w:r>
              <w:rPr>
                <w:b/>
                <w:sz w:val="24"/>
                <w:szCs w:val="24"/>
              </w:rPr>
              <w:t>Τετάρτη</w:t>
            </w:r>
            <w:r w:rsidR="00472F9C">
              <w:rPr>
                <w:b/>
                <w:sz w:val="24"/>
                <w:szCs w:val="24"/>
              </w:rPr>
              <w:t xml:space="preserve"> </w:t>
            </w:r>
            <w:r>
              <w:rPr>
                <w:b/>
                <w:sz w:val="24"/>
                <w:szCs w:val="24"/>
              </w:rPr>
              <w:t>26</w:t>
            </w:r>
            <w:r w:rsidR="00472F9C">
              <w:rPr>
                <w:b/>
                <w:sz w:val="24"/>
                <w:szCs w:val="24"/>
              </w:rPr>
              <w:t xml:space="preserve"> Νοεμβρίου και ώρα </w:t>
            </w:r>
            <w:r w:rsidR="005F0CA7" w:rsidRPr="00AB5557">
              <w:rPr>
                <w:b/>
                <w:sz w:val="24"/>
                <w:szCs w:val="24"/>
              </w:rPr>
              <w:t>10</w:t>
            </w:r>
            <w:r w:rsidR="00CC16E6" w:rsidRPr="00AB5557">
              <w:rPr>
                <w:b/>
                <w:sz w:val="24"/>
                <w:szCs w:val="24"/>
              </w:rPr>
              <w:t>:00</w:t>
            </w:r>
            <w:r w:rsidR="001D2663" w:rsidRPr="00AB5557">
              <w:rPr>
                <w:b/>
                <w:sz w:val="24"/>
                <w:szCs w:val="24"/>
              </w:rPr>
              <w:t xml:space="preserve"> π.μ.</w:t>
            </w:r>
          </w:p>
        </w:tc>
      </w:tr>
      <w:tr w:rsidR="00DF3D75" w:rsidRPr="00580D91" w14:paraId="13B53D2D" w14:textId="77777777" w:rsidTr="00491A3F">
        <w:tc>
          <w:tcPr>
            <w:tcW w:w="3823"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5811" w:type="dxa"/>
          </w:tcPr>
          <w:p w14:paraId="105B255E" w14:textId="77777777" w:rsidR="00DF3D75" w:rsidRPr="00580D91" w:rsidRDefault="00DF3D75" w:rsidP="00602974">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21C4C9" w14:textId="7A9B494D" w:rsidR="00DF3D75" w:rsidRPr="00F25924" w:rsidRDefault="008E7E79" w:rsidP="008E7E79">
      <w:pPr>
        <w:pStyle w:val="3"/>
        <w:spacing w:after="200"/>
        <w:contextualSpacing/>
        <w:jc w:val="center"/>
        <w:rPr>
          <w:rFonts w:ascii="Times New Roman" w:hAnsi="Times New Roman"/>
          <w:sz w:val="24"/>
          <w:szCs w:val="24"/>
        </w:rPr>
      </w:pPr>
      <w:r>
        <w:rPr>
          <w:rFonts w:ascii="Times New Roman" w:hAnsi="Times New Roman"/>
          <w:sz w:val="24"/>
          <w:szCs w:val="24"/>
        </w:rPr>
        <w:t xml:space="preserve">Άρθρο 2: </w:t>
      </w:r>
      <w:r w:rsidR="00AB52D4" w:rsidRPr="00F25924">
        <w:rPr>
          <w:rFonts w:ascii="Times New Roman" w:hAnsi="Times New Roman"/>
          <w:sz w:val="24"/>
          <w:szCs w:val="24"/>
        </w:rPr>
        <w:t>Αντικείμενο της υπό ανάθεση</w:t>
      </w:r>
      <w:r w:rsidR="0049083D">
        <w:rPr>
          <w:rFonts w:ascii="Times New Roman" w:hAnsi="Times New Roman"/>
          <w:sz w:val="24"/>
          <w:szCs w:val="24"/>
        </w:rPr>
        <w:t xml:space="preserve"> προμήθειας</w:t>
      </w:r>
    </w:p>
    <w:p w14:paraId="2883C283" w14:textId="6EFFE51C" w:rsidR="001D2663" w:rsidRDefault="00AB52D4" w:rsidP="0033087F">
      <w:pPr>
        <w:pStyle w:val="a4"/>
        <w:spacing w:line="280" w:lineRule="atLeast"/>
        <w:ind w:right="-285"/>
        <w:rPr>
          <w:bCs/>
        </w:rPr>
      </w:pPr>
      <w:r w:rsidRPr="00627B58">
        <w:rPr>
          <w:bCs/>
        </w:rPr>
        <w:t>Αντικείμενο της υπό ανάθεση</w:t>
      </w:r>
      <w:r w:rsidR="0049083D">
        <w:rPr>
          <w:bCs/>
        </w:rPr>
        <w:t xml:space="preserve"> προμήθειας </w:t>
      </w:r>
      <w:r w:rsidRPr="00627B58">
        <w:rPr>
          <w:bCs/>
        </w:rPr>
        <w:t xml:space="preserve">αποτελεί η </w:t>
      </w:r>
      <w:bookmarkStart w:id="0" w:name="_Hlk213315761"/>
      <w:r w:rsidR="00B50944" w:rsidRPr="00B50944">
        <w:rPr>
          <w:b/>
        </w:rPr>
        <w:t>«</w:t>
      </w:r>
      <w:r w:rsidR="00CC1F3F">
        <w:rPr>
          <w:b/>
        </w:rPr>
        <w:t xml:space="preserve">προμήθεια εργαστηριακών ειδών για τις ανάγκες των ερευνητικών και εκπαιδευτικών δραστηριοτήτων της Επίκουρης Καθηγήτριας </w:t>
      </w:r>
      <w:proofErr w:type="spellStart"/>
      <w:r w:rsidR="00CC1F3F">
        <w:rPr>
          <w:b/>
        </w:rPr>
        <w:t>Ραυτογιάννη</w:t>
      </w:r>
      <w:proofErr w:type="spellEnd"/>
      <w:r w:rsidR="00CC1F3F">
        <w:rPr>
          <w:b/>
        </w:rPr>
        <w:t xml:space="preserve"> Ανδρονίκης στο Εργαστήριο </w:t>
      </w:r>
      <w:proofErr w:type="spellStart"/>
      <w:r w:rsidR="00CC1F3F">
        <w:rPr>
          <w:b/>
        </w:rPr>
        <w:t>νευροεπιστημών</w:t>
      </w:r>
      <w:proofErr w:type="spellEnd"/>
      <w:r w:rsidR="00CC1F3F">
        <w:rPr>
          <w:b/>
        </w:rPr>
        <w:t xml:space="preserve"> της συμπεριφοράς του Τμήματος Ψυχολογίας του Πανεπιστημίου Κρήτης</w:t>
      </w:r>
      <w:r w:rsidR="00892F30">
        <w:rPr>
          <w:b/>
        </w:rPr>
        <w:t>»</w:t>
      </w:r>
      <w:r w:rsidR="00C62D9A">
        <w:rPr>
          <w:b/>
        </w:rPr>
        <w:t xml:space="preserve"> </w:t>
      </w:r>
      <w:bookmarkEnd w:id="0"/>
      <w:r w:rsidR="00C62D9A" w:rsidRPr="00C62D9A">
        <w:rPr>
          <w:bCs/>
        </w:rPr>
        <w:t xml:space="preserve">όπως περιγράφεται στο Παράρτημα </w:t>
      </w:r>
      <w:r w:rsidR="00D13F94">
        <w:rPr>
          <w:bCs/>
        </w:rPr>
        <w:t xml:space="preserve">Ι </w:t>
      </w:r>
      <w:r w:rsidR="00C62D9A" w:rsidRPr="00C62D9A">
        <w:rPr>
          <w:bCs/>
        </w:rPr>
        <w:t>της παρούσης.</w:t>
      </w:r>
    </w:p>
    <w:p w14:paraId="52880180" w14:textId="49C7182F" w:rsidR="00AB52D4" w:rsidRPr="00F25924" w:rsidRDefault="00AB52D4" w:rsidP="00AB52D4">
      <w:pPr>
        <w:pStyle w:val="a4"/>
        <w:spacing w:line="280" w:lineRule="atLeast"/>
        <w:ind w:right="-285"/>
        <w:rPr>
          <w:bCs/>
        </w:rPr>
      </w:pPr>
      <w:r w:rsidRPr="00F25924">
        <w:rPr>
          <w:bCs/>
        </w:rPr>
        <w:t>Η παρούσα Πρόσκληση θα αναρτηθεί στο ΚΗΜΔΗΣ</w:t>
      </w:r>
      <w:r w:rsidR="002036AD">
        <w:rPr>
          <w:bCs/>
        </w:rPr>
        <w:t xml:space="preserve"> και στην</w:t>
      </w:r>
      <w:r w:rsidRPr="00F25924">
        <w:rPr>
          <w:bCs/>
        </w:rPr>
        <w:t xml:space="preserve"> ιστοσελίδα του Πανεπιστημίου Κρήτης (</w:t>
      </w:r>
      <w:hyperlink r:id="rId9" w:history="1">
        <w:r w:rsidRPr="00F25924">
          <w:rPr>
            <w:rStyle w:val="-"/>
            <w:bCs/>
          </w:rPr>
          <w:t>www.uoc.gr</w:t>
        </w:r>
      </w:hyperlink>
      <w:r w:rsidRPr="00F25924">
        <w:rPr>
          <w:bCs/>
        </w:rPr>
        <w:t>).</w:t>
      </w:r>
    </w:p>
    <w:p w14:paraId="7932E3A6" w14:textId="5912A8F7" w:rsidR="00892F30" w:rsidRPr="00F25924" w:rsidRDefault="00655B13" w:rsidP="00F63462">
      <w:pPr>
        <w:pStyle w:val="a4"/>
        <w:spacing w:line="240" w:lineRule="auto"/>
        <w:ind w:right="-285"/>
        <w:rPr>
          <w:b/>
        </w:rPr>
      </w:pPr>
      <w:r>
        <w:rPr>
          <w:b/>
        </w:rPr>
        <w:t>Ο χ</w:t>
      </w:r>
      <w:r w:rsidR="00F25924" w:rsidRPr="00F25924">
        <w:rPr>
          <w:b/>
        </w:rPr>
        <w:t xml:space="preserve">ρόνος </w:t>
      </w:r>
      <w:r w:rsidR="00B200C7">
        <w:rPr>
          <w:b/>
        </w:rPr>
        <w:t xml:space="preserve">παράδοσης των ειδών ορίζεται </w:t>
      </w:r>
      <w:r w:rsidR="00B200C7" w:rsidRPr="00F63462">
        <w:rPr>
          <w:b/>
        </w:rPr>
        <w:t xml:space="preserve">σε </w:t>
      </w:r>
      <w:r w:rsidR="00B200C7" w:rsidRPr="00305E6D">
        <w:rPr>
          <w:b/>
        </w:rPr>
        <w:t>έως</w:t>
      </w:r>
      <w:r w:rsidR="00305E6D">
        <w:rPr>
          <w:b/>
        </w:rPr>
        <w:t xml:space="preserve"> ένα (1) μήνα </w:t>
      </w:r>
      <w:r w:rsidR="00B200C7" w:rsidRPr="00305E6D">
        <w:rPr>
          <w:b/>
        </w:rPr>
        <w:t>από την ημερομηνία ανάρτησης της νομικής δέσμευσης</w:t>
      </w:r>
      <w:r w:rsidR="00B200C7" w:rsidRPr="00F63462">
        <w:rPr>
          <w:b/>
        </w:rPr>
        <w:t>.</w:t>
      </w:r>
    </w:p>
    <w:p w14:paraId="7D718149" w14:textId="77777777" w:rsidR="00AB67A1" w:rsidRPr="00F25924" w:rsidRDefault="00AB67A1" w:rsidP="00DF3D75">
      <w:pPr>
        <w:spacing w:after="120"/>
        <w:contextualSpacing/>
        <w:jc w:val="both"/>
        <w:rPr>
          <w:b/>
          <w:sz w:val="24"/>
          <w:szCs w:val="24"/>
        </w:rPr>
      </w:pPr>
    </w:p>
    <w:p w14:paraId="4CA58B4C" w14:textId="77777777" w:rsidR="008E7E79" w:rsidRPr="008D58DD" w:rsidRDefault="008E7E79" w:rsidP="008E7E79">
      <w:pPr>
        <w:ind w:right="-285"/>
        <w:jc w:val="center"/>
        <w:rPr>
          <w:b/>
          <w:bCs/>
          <w:sz w:val="24"/>
          <w:szCs w:val="24"/>
        </w:rPr>
      </w:pPr>
      <w:r w:rsidRPr="008D58DD">
        <w:rPr>
          <w:b/>
          <w:bCs/>
          <w:sz w:val="24"/>
          <w:szCs w:val="24"/>
        </w:rPr>
        <w:t xml:space="preserve">Άρθρο </w:t>
      </w:r>
      <w:r>
        <w:rPr>
          <w:b/>
          <w:bCs/>
          <w:sz w:val="24"/>
          <w:szCs w:val="24"/>
        </w:rPr>
        <w:t xml:space="preserve">3: </w:t>
      </w:r>
      <w:r w:rsidRPr="008D58DD">
        <w:rPr>
          <w:b/>
          <w:bCs/>
          <w:sz w:val="24"/>
          <w:szCs w:val="24"/>
        </w:rPr>
        <w:t>Στοιχεία Διαδικασίας – Χρηματοδότηση</w:t>
      </w:r>
    </w:p>
    <w:p w14:paraId="387A2E90" w14:textId="74B36960" w:rsidR="00B93250" w:rsidRDefault="00580D91" w:rsidP="00174301">
      <w:pPr>
        <w:tabs>
          <w:tab w:val="left" w:pos="567"/>
        </w:tabs>
        <w:autoSpaceDE w:val="0"/>
        <w:autoSpaceDN w:val="0"/>
        <w:adjustRightInd w:val="0"/>
        <w:ind w:right="-285"/>
        <w:jc w:val="both"/>
        <w:rPr>
          <w:b/>
          <w:bCs/>
          <w:sz w:val="24"/>
          <w:szCs w:val="24"/>
        </w:rPr>
      </w:pPr>
      <w:r w:rsidRPr="00F25924">
        <w:rPr>
          <w:bCs/>
          <w:sz w:val="24"/>
          <w:szCs w:val="24"/>
        </w:rPr>
        <w:t xml:space="preserve">Η εγκεκριμένη προϋπολογισθείσα δαπάνη ανέρχεται στο ύψος των </w:t>
      </w:r>
      <w:r w:rsidR="00174301">
        <w:rPr>
          <w:b/>
          <w:sz w:val="24"/>
          <w:szCs w:val="24"/>
        </w:rPr>
        <w:t>757,52</w:t>
      </w:r>
      <w:r w:rsidR="001D2663" w:rsidRPr="001E2C6A">
        <w:rPr>
          <w:b/>
          <w:sz w:val="24"/>
          <w:szCs w:val="24"/>
        </w:rPr>
        <w:t>€</w:t>
      </w:r>
      <w:r w:rsidR="002C7D33">
        <w:rPr>
          <w:bCs/>
          <w:sz w:val="24"/>
          <w:szCs w:val="24"/>
        </w:rPr>
        <w:t xml:space="preserve"> (</w:t>
      </w:r>
      <w:r w:rsidR="00174301">
        <w:rPr>
          <w:bCs/>
          <w:sz w:val="24"/>
          <w:szCs w:val="24"/>
        </w:rPr>
        <w:t>επτακοσίων πενήντα επτά ευρώ και πενήντα δύο λεπτών</w:t>
      </w:r>
      <w:r w:rsidR="000B281A">
        <w:rPr>
          <w:bCs/>
          <w:sz w:val="24"/>
          <w:szCs w:val="24"/>
        </w:rPr>
        <w:t>)</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9E48F4">
        <w:rPr>
          <w:bCs/>
          <w:sz w:val="24"/>
          <w:szCs w:val="24"/>
        </w:rPr>
        <w:t>5</w:t>
      </w:r>
      <w:r w:rsidR="00A52751">
        <w:rPr>
          <w:bCs/>
          <w:sz w:val="24"/>
          <w:szCs w:val="24"/>
        </w:rPr>
        <w:t xml:space="preserve"> - </w:t>
      </w:r>
      <w:r w:rsidRPr="00F25924">
        <w:rPr>
          <w:bCs/>
          <w:sz w:val="24"/>
          <w:szCs w:val="24"/>
        </w:rPr>
        <w:t xml:space="preserve">ΚΑΕ </w:t>
      </w:r>
      <w:r w:rsidR="00174301">
        <w:rPr>
          <w:b/>
          <w:sz w:val="24"/>
          <w:szCs w:val="24"/>
        </w:rPr>
        <w:t>4121.</w:t>
      </w:r>
    </w:p>
    <w:p w14:paraId="38232F19" w14:textId="1B277273" w:rsidR="008E7E79" w:rsidRPr="00B55DFD" w:rsidRDefault="008E7E79" w:rsidP="008E7E79">
      <w:pPr>
        <w:spacing w:after="160" w:line="280" w:lineRule="atLeast"/>
        <w:ind w:right="-285"/>
        <w:jc w:val="both"/>
        <w:rPr>
          <w:rFonts w:eastAsiaTheme="minorEastAsia"/>
          <w:bCs/>
          <w:sz w:val="24"/>
          <w:szCs w:val="24"/>
        </w:rPr>
      </w:pPr>
      <w:r w:rsidRPr="00B55DFD">
        <w:rPr>
          <w:rFonts w:eastAsiaTheme="minorEastAsia"/>
          <w:bCs/>
          <w:sz w:val="24"/>
          <w:szCs w:val="24"/>
        </w:rPr>
        <w:t xml:space="preserve">Ως κριτήριο κατακύρωσης ορίζεται η πλέον συμφέρουσα από οικονομική άποψη προσφορά μόνο </w:t>
      </w:r>
      <w:r w:rsidRPr="00B55DFD">
        <w:rPr>
          <w:rFonts w:eastAsiaTheme="minorEastAsia"/>
          <w:b/>
          <w:sz w:val="24"/>
          <w:szCs w:val="24"/>
        </w:rPr>
        <w:t>βάσει τιμής</w:t>
      </w:r>
      <w:r w:rsidR="00174301">
        <w:rPr>
          <w:rFonts w:eastAsiaTheme="minorEastAsia"/>
          <w:b/>
          <w:sz w:val="24"/>
          <w:szCs w:val="24"/>
        </w:rPr>
        <w:t>.</w:t>
      </w:r>
    </w:p>
    <w:p w14:paraId="19FE905E" w14:textId="77777777" w:rsidR="00B93250" w:rsidRDefault="00B93250" w:rsidP="0077733D">
      <w:pPr>
        <w:tabs>
          <w:tab w:val="left" w:pos="567"/>
        </w:tabs>
        <w:autoSpaceDE w:val="0"/>
        <w:autoSpaceDN w:val="0"/>
        <w:adjustRightInd w:val="0"/>
        <w:ind w:right="-285"/>
        <w:jc w:val="both"/>
        <w:rPr>
          <w:b/>
          <w:sz w:val="24"/>
          <w:szCs w:val="24"/>
        </w:rPr>
      </w:pPr>
    </w:p>
    <w:p w14:paraId="5FDDE4E3" w14:textId="5D97A32C" w:rsidR="008E7E79" w:rsidRPr="00624868" w:rsidRDefault="008E7E79" w:rsidP="008E7E79">
      <w:pPr>
        <w:tabs>
          <w:tab w:val="left" w:pos="567"/>
        </w:tabs>
        <w:autoSpaceDE w:val="0"/>
        <w:autoSpaceDN w:val="0"/>
        <w:adjustRightInd w:val="0"/>
        <w:ind w:right="-285"/>
        <w:jc w:val="center"/>
        <w:rPr>
          <w:b/>
          <w:sz w:val="24"/>
          <w:szCs w:val="24"/>
        </w:rPr>
      </w:pPr>
      <w:r w:rsidRPr="00624868">
        <w:rPr>
          <w:b/>
          <w:sz w:val="24"/>
          <w:szCs w:val="24"/>
        </w:rPr>
        <w:t xml:space="preserve">Άρθρο </w:t>
      </w:r>
      <w:r>
        <w:rPr>
          <w:b/>
          <w:sz w:val="24"/>
          <w:szCs w:val="24"/>
        </w:rPr>
        <w:t xml:space="preserve">4: </w:t>
      </w:r>
      <w:r w:rsidRPr="00624868">
        <w:rPr>
          <w:b/>
          <w:sz w:val="24"/>
          <w:szCs w:val="24"/>
        </w:rPr>
        <w:t>Κατάρτιση – Υποβολή Προσφορών</w:t>
      </w:r>
    </w:p>
    <w:p w14:paraId="5EA2B3A7" w14:textId="65983BF0" w:rsidR="008E7E79" w:rsidRPr="00645240" w:rsidRDefault="008E7E79" w:rsidP="00535A83">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 xml:space="preserve">Καλούνται οι ενδιαφερόμενοι να υποβάλουν την προσφορά τους έως και την </w:t>
      </w:r>
      <w:r w:rsidR="004B3831">
        <w:rPr>
          <w:b/>
          <w:sz w:val="24"/>
          <w:szCs w:val="24"/>
        </w:rPr>
        <w:t>Τετάρτη</w:t>
      </w:r>
      <w:r>
        <w:rPr>
          <w:b/>
          <w:sz w:val="24"/>
          <w:szCs w:val="24"/>
        </w:rPr>
        <w:t xml:space="preserve"> </w:t>
      </w:r>
      <w:r w:rsidR="004B3831">
        <w:rPr>
          <w:b/>
          <w:sz w:val="24"/>
          <w:szCs w:val="24"/>
        </w:rPr>
        <w:t>26</w:t>
      </w:r>
      <w:r>
        <w:rPr>
          <w:b/>
          <w:sz w:val="24"/>
          <w:szCs w:val="24"/>
        </w:rPr>
        <w:t xml:space="preserve"> Νοεμβρίου</w:t>
      </w:r>
      <w:r w:rsidRPr="00AB5557">
        <w:rPr>
          <w:b/>
          <w:sz w:val="24"/>
          <w:szCs w:val="24"/>
        </w:rPr>
        <w:t xml:space="preserve"> 2025</w:t>
      </w:r>
      <w:r w:rsidRPr="00AB5557">
        <w:rPr>
          <w:bCs/>
          <w:sz w:val="24"/>
          <w:szCs w:val="24"/>
        </w:rPr>
        <w:t xml:space="preserve">, </w:t>
      </w:r>
      <w:r w:rsidRPr="00AB5557">
        <w:rPr>
          <w:b/>
          <w:sz w:val="24"/>
          <w:szCs w:val="24"/>
        </w:rPr>
        <w:t>και ώρα 10:00 π.μ.</w:t>
      </w:r>
      <w:r>
        <w:rPr>
          <w:bCs/>
          <w:sz w:val="24"/>
          <w:szCs w:val="24"/>
        </w:rPr>
        <w:t xml:space="preserve"> </w:t>
      </w:r>
      <w:r w:rsidRPr="00645240">
        <w:rPr>
          <w:rFonts w:eastAsiaTheme="minorEastAsia"/>
          <w:bCs/>
          <w:sz w:val="24"/>
          <w:szCs w:val="24"/>
        </w:rPr>
        <w:t xml:space="preserve">Προσφορές που θα κατατεθούν μετά την προαναφερόμενη ημερομηνία </w:t>
      </w:r>
      <w:r w:rsidRPr="00645240">
        <w:rPr>
          <w:rFonts w:eastAsiaTheme="minorEastAsia"/>
          <w:bCs/>
          <w:sz w:val="24"/>
          <w:szCs w:val="24"/>
        </w:rPr>
        <w:lastRenderedPageBreak/>
        <w:t>και ώρα δεν παραλαμβάνονται, αλλά επιστρέφονται ως εκπρόθεσμες. Οι προσφορές υποβάλλονται στην Ελληνική γλώσσα.</w:t>
      </w:r>
    </w:p>
    <w:p w14:paraId="105B9427" w14:textId="77777777" w:rsidR="008E7E79" w:rsidRPr="00645240" w:rsidRDefault="008E7E79" w:rsidP="00535A83">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 xml:space="preserve">Οι προσφορές δεν πρέπει να φέρουν παρατυπίες και διορθώσεις (σβησίματα, διαγραφές, προσθήκες, </w:t>
      </w:r>
      <w:proofErr w:type="spellStart"/>
      <w:r w:rsidRPr="00645240">
        <w:rPr>
          <w:rFonts w:eastAsiaTheme="minorEastAsia"/>
          <w:bCs/>
          <w:sz w:val="24"/>
          <w:szCs w:val="24"/>
        </w:rPr>
        <w:t>κλπ</w:t>
      </w:r>
      <w:proofErr w:type="spellEnd"/>
      <w:r w:rsidRPr="00645240">
        <w:rPr>
          <w:rFonts w:eastAsiaTheme="minorEastAsia"/>
          <w:bCs/>
          <w:sz w:val="24"/>
          <w:szCs w:val="24"/>
        </w:rPr>
        <w:t xml:space="preserve">). Αν υπάρχει διόρθωση, προσθήκη κλπ. θα πρέπει να είναι καθαρογραμμένη και να έχει μονογραφεί από τον προσφέροντα. </w:t>
      </w:r>
    </w:p>
    <w:p w14:paraId="244F4AC6" w14:textId="77777777" w:rsidR="008E7E79" w:rsidRPr="00645240" w:rsidRDefault="008E7E79" w:rsidP="00535A83">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Οι προσφέροντες δεν δικαιούνται ουδεμία αποζημίωση για δαπάνες σχετικές με τη συμμετοχή τους.</w:t>
      </w:r>
    </w:p>
    <w:p w14:paraId="10F46706" w14:textId="77777777" w:rsidR="008E7E79" w:rsidRPr="00645240" w:rsidRDefault="008E7E79" w:rsidP="00535A83">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0B210389" w14:textId="77777777" w:rsidR="008E7E79" w:rsidRPr="00645240" w:rsidRDefault="008E7E79" w:rsidP="00535A83">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Οι προσφέροντες, καλούνται να υποβάλλουν την προσφορά  τους σε ενιαίο σφραγισμένο φάκελο που θα απευθύνεται στο Τμήμα Προμηθειών του Πανεπιστημίου Κρήτης στο Ρέθυμνο, ο οποίος θα φέρει στην εξωτερική του όψη τις κάτωθι ενδείξεις:</w:t>
      </w:r>
    </w:p>
    <w:p w14:paraId="72E6A8FA" w14:textId="77777777" w:rsidR="008E7E79" w:rsidRPr="00645240" w:rsidRDefault="008E7E79" w:rsidP="008E7E79">
      <w:pPr>
        <w:tabs>
          <w:tab w:val="left" w:pos="567"/>
        </w:tabs>
        <w:autoSpaceDE w:val="0"/>
        <w:autoSpaceDN w:val="0"/>
        <w:adjustRightInd w:val="0"/>
        <w:spacing w:after="160" w:line="259" w:lineRule="auto"/>
        <w:ind w:right="-285"/>
        <w:jc w:val="center"/>
        <w:rPr>
          <w:rFonts w:eastAsiaTheme="minorEastAsia"/>
          <w:b/>
          <w:sz w:val="24"/>
          <w:szCs w:val="24"/>
        </w:rPr>
      </w:pPr>
      <w:r w:rsidRPr="00645240">
        <w:rPr>
          <w:rFonts w:eastAsiaTheme="minorEastAsia"/>
          <w:b/>
          <w:sz w:val="24"/>
          <w:szCs w:val="24"/>
        </w:rPr>
        <w:t>ΦΑΚΕΛΟΣ ΠΡΟΣΦΟΡΑΣ ΓΙΑ</w:t>
      </w:r>
    </w:p>
    <w:p w14:paraId="15ED792E" w14:textId="77777777" w:rsidR="008E7E79" w:rsidRPr="00645240" w:rsidRDefault="008E7E79" w:rsidP="008E7E79">
      <w:pPr>
        <w:tabs>
          <w:tab w:val="left" w:pos="567"/>
        </w:tabs>
        <w:autoSpaceDE w:val="0"/>
        <w:autoSpaceDN w:val="0"/>
        <w:adjustRightInd w:val="0"/>
        <w:spacing w:after="160" w:line="259" w:lineRule="auto"/>
        <w:ind w:right="-285"/>
        <w:jc w:val="center"/>
        <w:rPr>
          <w:rFonts w:eastAsiaTheme="minorEastAsia"/>
          <w:bCs/>
          <w:sz w:val="24"/>
          <w:szCs w:val="24"/>
        </w:rPr>
      </w:pPr>
      <w:r w:rsidRPr="00645240">
        <w:rPr>
          <w:rFonts w:eastAsiaTheme="minorEastAsia"/>
          <w:bCs/>
          <w:sz w:val="24"/>
          <w:szCs w:val="24"/>
        </w:rPr>
        <w:t>Πρόσκληση Εκδήλωσης Ενδιαφέροντος με σφραγισμένες προσφορές για</w:t>
      </w:r>
    </w:p>
    <w:p w14:paraId="524EA503" w14:textId="0382A581" w:rsidR="008E7E79" w:rsidRPr="004550E7" w:rsidRDefault="008E7E79" w:rsidP="008E7E79">
      <w:pPr>
        <w:tabs>
          <w:tab w:val="left" w:pos="567"/>
        </w:tabs>
        <w:autoSpaceDE w:val="0"/>
        <w:autoSpaceDN w:val="0"/>
        <w:adjustRightInd w:val="0"/>
        <w:spacing w:after="160" w:line="259" w:lineRule="auto"/>
        <w:ind w:right="-285"/>
        <w:jc w:val="center"/>
        <w:rPr>
          <w:rFonts w:eastAsiaTheme="minorEastAsia"/>
          <w:b/>
          <w:sz w:val="24"/>
          <w:szCs w:val="24"/>
        </w:rPr>
      </w:pPr>
      <w:r w:rsidRPr="004550E7">
        <w:rPr>
          <w:rFonts w:eastAsiaTheme="minorEastAsia"/>
          <w:b/>
          <w:sz w:val="24"/>
          <w:szCs w:val="24"/>
        </w:rPr>
        <w:t>«</w:t>
      </w:r>
      <w:r w:rsidR="004550E7" w:rsidRPr="004550E7">
        <w:rPr>
          <w:b/>
          <w:sz w:val="24"/>
          <w:szCs w:val="24"/>
        </w:rPr>
        <w:t xml:space="preserve">προμήθεια εργαστηριακών ειδών για τις ανάγκες των ερευνητικών και εκπαιδευτικών δραστηριοτήτων της Επίκουρης Καθηγήτριας </w:t>
      </w:r>
      <w:proofErr w:type="spellStart"/>
      <w:r w:rsidR="004550E7" w:rsidRPr="004550E7">
        <w:rPr>
          <w:b/>
          <w:sz w:val="24"/>
          <w:szCs w:val="24"/>
        </w:rPr>
        <w:t>Ραυτογιάννη</w:t>
      </w:r>
      <w:proofErr w:type="spellEnd"/>
      <w:r w:rsidR="004550E7" w:rsidRPr="004550E7">
        <w:rPr>
          <w:b/>
          <w:sz w:val="24"/>
          <w:szCs w:val="24"/>
        </w:rPr>
        <w:t xml:space="preserve"> Ανδρονίκης στο Εργαστήριο </w:t>
      </w:r>
      <w:proofErr w:type="spellStart"/>
      <w:r w:rsidR="004550E7" w:rsidRPr="004550E7">
        <w:rPr>
          <w:b/>
          <w:sz w:val="24"/>
          <w:szCs w:val="24"/>
        </w:rPr>
        <w:t>νευροεπιστημών</w:t>
      </w:r>
      <w:proofErr w:type="spellEnd"/>
      <w:r w:rsidR="004550E7" w:rsidRPr="004550E7">
        <w:rPr>
          <w:b/>
          <w:sz w:val="24"/>
          <w:szCs w:val="24"/>
        </w:rPr>
        <w:t xml:space="preserve"> της συμπεριφοράς του Τμήματος Ψυχολογίας του Πανεπιστημίου Κρήτης</w:t>
      </w:r>
      <w:r w:rsidRPr="004550E7">
        <w:rPr>
          <w:rFonts w:eastAsiaTheme="minorEastAsia"/>
          <w:b/>
          <w:sz w:val="24"/>
          <w:szCs w:val="24"/>
        </w:rPr>
        <w:t>»</w:t>
      </w:r>
    </w:p>
    <w:p w14:paraId="2E1D52FC" w14:textId="77777777" w:rsidR="008E7E79" w:rsidRPr="00645240" w:rsidRDefault="008E7E79" w:rsidP="008E7E79">
      <w:pPr>
        <w:tabs>
          <w:tab w:val="left" w:pos="567"/>
        </w:tabs>
        <w:autoSpaceDE w:val="0"/>
        <w:autoSpaceDN w:val="0"/>
        <w:adjustRightInd w:val="0"/>
        <w:spacing w:after="160" w:line="259" w:lineRule="auto"/>
        <w:ind w:right="-285"/>
        <w:jc w:val="center"/>
        <w:rPr>
          <w:rFonts w:eastAsiaTheme="minorEastAsia"/>
          <w:bCs/>
          <w:sz w:val="24"/>
          <w:szCs w:val="24"/>
        </w:rPr>
      </w:pPr>
      <w:r w:rsidRPr="00645240">
        <w:rPr>
          <w:rFonts w:eastAsiaTheme="minorEastAsia"/>
          <w:bCs/>
          <w:sz w:val="24"/>
          <w:szCs w:val="24"/>
        </w:rPr>
        <w:t>Αριθμός Πρόσκλησης Εκδήλωσης: ……………../…..-…..-………</w:t>
      </w:r>
    </w:p>
    <w:p w14:paraId="360560CB" w14:textId="77777777" w:rsidR="008E7E79" w:rsidRPr="00645240" w:rsidRDefault="008E7E79" w:rsidP="008E7E79">
      <w:pPr>
        <w:tabs>
          <w:tab w:val="left" w:pos="567"/>
        </w:tabs>
        <w:autoSpaceDE w:val="0"/>
        <w:autoSpaceDN w:val="0"/>
        <w:adjustRightInd w:val="0"/>
        <w:spacing w:after="160" w:line="259" w:lineRule="auto"/>
        <w:ind w:right="-285"/>
        <w:jc w:val="center"/>
        <w:rPr>
          <w:rFonts w:eastAsiaTheme="minorEastAsia"/>
          <w:bCs/>
          <w:sz w:val="24"/>
          <w:szCs w:val="24"/>
        </w:rPr>
      </w:pPr>
      <w:r w:rsidRPr="00535A83">
        <w:rPr>
          <w:rFonts w:eastAsiaTheme="minorEastAsia"/>
          <w:b/>
          <w:sz w:val="24"/>
          <w:szCs w:val="24"/>
        </w:rPr>
        <w:t>ΣΤΟΙΧΕΙΑ ΤΟΥ ΥΠΟΨΗΦ</w:t>
      </w:r>
      <w:r w:rsidRPr="00645240">
        <w:rPr>
          <w:rFonts w:eastAsiaTheme="minorEastAsia"/>
          <w:bCs/>
          <w:sz w:val="24"/>
          <w:szCs w:val="24"/>
        </w:rPr>
        <w:t xml:space="preserve">ΙΟΥ: (Επωνυμία, Διεύθυνση, </w:t>
      </w:r>
      <w:proofErr w:type="spellStart"/>
      <w:r w:rsidRPr="00645240">
        <w:rPr>
          <w:rFonts w:eastAsiaTheme="minorEastAsia"/>
          <w:bCs/>
          <w:sz w:val="24"/>
          <w:szCs w:val="24"/>
        </w:rPr>
        <w:t>τηλ</w:t>
      </w:r>
      <w:proofErr w:type="spellEnd"/>
      <w:r w:rsidRPr="00645240">
        <w:rPr>
          <w:rFonts w:eastAsiaTheme="minorEastAsia"/>
          <w:bCs/>
          <w:sz w:val="24"/>
          <w:szCs w:val="24"/>
        </w:rPr>
        <w:t>. Email)</w:t>
      </w:r>
    </w:p>
    <w:p w14:paraId="075F1E05" w14:textId="77777777" w:rsidR="008E7E79" w:rsidRPr="00645240" w:rsidRDefault="008E7E79" w:rsidP="008E7E79">
      <w:pPr>
        <w:tabs>
          <w:tab w:val="left" w:pos="567"/>
        </w:tabs>
        <w:autoSpaceDE w:val="0"/>
        <w:autoSpaceDN w:val="0"/>
        <w:adjustRightInd w:val="0"/>
        <w:spacing w:after="160" w:line="259" w:lineRule="auto"/>
        <w:ind w:right="-285"/>
        <w:jc w:val="both"/>
        <w:rPr>
          <w:rFonts w:eastAsiaTheme="minorEastAsia"/>
          <w:bCs/>
          <w:sz w:val="24"/>
          <w:szCs w:val="24"/>
        </w:rPr>
      </w:pPr>
      <w:r w:rsidRPr="00645240">
        <w:rPr>
          <w:rFonts w:eastAsiaTheme="minorEastAsia"/>
          <w:bCs/>
          <w:sz w:val="24"/>
          <w:szCs w:val="24"/>
        </w:rPr>
        <w:t xml:space="preserve">Ο ενιαίος σφραγισμένος φάκελος με τα πλήρη στοιχεία του προσφέροντα πρέπει να περιέχει: </w:t>
      </w:r>
    </w:p>
    <w:p w14:paraId="670F6A39" w14:textId="67E68275" w:rsidR="008E7E79" w:rsidRPr="00645240" w:rsidRDefault="008E7E79" w:rsidP="008E7E79">
      <w:pPr>
        <w:tabs>
          <w:tab w:val="left" w:pos="567"/>
        </w:tabs>
        <w:autoSpaceDE w:val="0"/>
        <w:autoSpaceDN w:val="0"/>
        <w:adjustRightInd w:val="0"/>
        <w:spacing w:after="160" w:line="259" w:lineRule="auto"/>
        <w:ind w:right="-285"/>
        <w:jc w:val="both"/>
        <w:rPr>
          <w:rFonts w:eastAsiaTheme="minorEastAsia"/>
          <w:b/>
          <w:sz w:val="24"/>
          <w:szCs w:val="24"/>
        </w:rPr>
      </w:pPr>
      <w:r w:rsidRPr="00645240">
        <w:rPr>
          <w:rFonts w:eastAsiaTheme="minorEastAsia"/>
          <w:b/>
          <w:sz w:val="24"/>
          <w:szCs w:val="24"/>
        </w:rPr>
        <w:t xml:space="preserve"> 1) </w:t>
      </w:r>
      <w:r w:rsidRPr="000C36F2">
        <w:rPr>
          <w:b/>
          <w:sz w:val="24"/>
          <w:szCs w:val="24"/>
        </w:rPr>
        <w:t>Δικαιολογητικ</w:t>
      </w:r>
      <w:r>
        <w:rPr>
          <w:b/>
          <w:sz w:val="24"/>
          <w:szCs w:val="24"/>
        </w:rPr>
        <w:t>ά</w:t>
      </w:r>
      <w:r w:rsidRPr="000C36F2">
        <w:rPr>
          <w:b/>
          <w:sz w:val="24"/>
          <w:szCs w:val="24"/>
        </w:rPr>
        <w:t xml:space="preserve"> Συμμετοχής</w:t>
      </w:r>
      <w:r w:rsidR="00EE4067">
        <w:rPr>
          <w:b/>
          <w:sz w:val="24"/>
          <w:szCs w:val="24"/>
        </w:rPr>
        <w:t>,</w:t>
      </w:r>
      <w:r w:rsidRPr="000C36F2">
        <w:rPr>
          <w:bCs/>
          <w:sz w:val="24"/>
          <w:szCs w:val="24"/>
        </w:rPr>
        <w:t xml:space="preserve"> στον οποίο περιέχονται τα δικαιολογητικά συμμετοχής, όπως προσδιορίζονται στην παρούσα Πρόσκληση</w:t>
      </w:r>
      <w:r w:rsidR="00535A83">
        <w:rPr>
          <w:bCs/>
          <w:sz w:val="24"/>
          <w:szCs w:val="24"/>
        </w:rPr>
        <w:t>.</w:t>
      </w:r>
    </w:p>
    <w:p w14:paraId="556B06B0" w14:textId="77777777" w:rsidR="008E7E79" w:rsidRDefault="008E7E79" w:rsidP="008E7E79">
      <w:pPr>
        <w:tabs>
          <w:tab w:val="left" w:pos="567"/>
        </w:tabs>
        <w:autoSpaceDE w:val="0"/>
        <w:autoSpaceDN w:val="0"/>
        <w:adjustRightInd w:val="0"/>
        <w:spacing w:after="160" w:line="259" w:lineRule="auto"/>
        <w:ind w:right="-285"/>
        <w:jc w:val="both"/>
        <w:rPr>
          <w:rFonts w:eastAsiaTheme="minorEastAsia"/>
          <w:b/>
          <w:sz w:val="24"/>
          <w:szCs w:val="24"/>
        </w:rPr>
      </w:pPr>
      <w:r w:rsidRPr="00645240">
        <w:rPr>
          <w:rFonts w:eastAsiaTheme="minorEastAsia"/>
          <w:b/>
          <w:sz w:val="24"/>
          <w:szCs w:val="24"/>
        </w:rPr>
        <w:t>2) Οικονομική Προσφορά του υποψηφίου Αναδόχου.</w:t>
      </w:r>
    </w:p>
    <w:p w14:paraId="60765B01" w14:textId="44334EF9" w:rsidR="008E7E79" w:rsidRDefault="002B406B" w:rsidP="008E7E79">
      <w:pPr>
        <w:tabs>
          <w:tab w:val="left" w:pos="567"/>
        </w:tabs>
        <w:autoSpaceDE w:val="0"/>
        <w:autoSpaceDN w:val="0"/>
        <w:adjustRightInd w:val="0"/>
        <w:ind w:right="-285"/>
        <w:jc w:val="both"/>
        <w:rPr>
          <w:b/>
          <w:sz w:val="24"/>
          <w:szCs w:val="24"/>
        </w:rPr>
      </w:pPr>
      <w:r>
        <w:rPr>
          <w:b/>
          <w:sz w:val="24"/>
          <w:szCs w:val="24"/>
        </w:rPr>
        <w:t>1</w:t>
      </w:r>
      <w:r w:rsidR="008E7E79">
        <w:rPr>
          <w:b/>
          <w:sz w:val="24"/>
          <w:szCs w:val="24"/>
        </w:rPr>
        <w:t xml:space="preserve">. </w:t>
      </w:r>
      <w:r w:rsidR="008E7E79" w:rsidRPr="008D58DD">
        <w:rPr>
          <w:b/>
          <w:sz w:val="24"/>
          <w:szCs w:val="24"/>
        </w:rPr>
        <w:t>ΔΙΚΑΙΟΛΟΓΗΤΙΚΑ ΣΥΜΜΕΤΟΧΗΣ:</w:t>
      </w:r>
    </w:p>
    <w:p w14:paraId="378E3185" w14:textId="77777777" w:rsidR="008E7E79" w:rsidRPr="00B201EB" w:rsidRDefault="008E7E79" w:rsidP="008E7E79">
      <w:pPr>
        <w:tabs>
          <w:tab w:val="left" w:pos="567"/>
        </w:tabs>
        <w:autoSpaceDE w:val="0"/>
        <w:autoSpaceDN w:val="0"/>
        <w:adjustRightInd w:val="0"/>
        <w:ind w:right="-285"/>
        <w:jc w:val="both"/>
        <w:rPr>
          <w:b/>
          <w:sz w:val="24"/>
          <w:szCs w:val="24"/>
        </w:rPr>
      </w:pPr>
    </w:p>
    <w:p w14:paraId="650E9454" w14:textId="77777777" w:rsidR="008E7E79" w:rsidRPr="00645240" w:rsidRDefault="008E7E79" w:rsidP="008E7E79">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
          <w:sz w:val="24"/>
          <w:szCs w:val="24"/>
        </w:rPr>
        <w:t>1. Υπεύθυνη δήλωση</w:t>
      </w:r>
      <w:r w:rsidRPr="00645240">
        <w:rPr>
          <w:rFonts w:eastAsiaTheme="minorEastAsia"/>
          <w:bCs/>
          <w:sz w:val="24"/>
          <w:szCs w:val="24"/>
        </w:rPr>
        <w:t xml:space="preserve"> του Ν.1599/1986 του υποψήφιου Αναδόχου με την οποία :</w:t>
      </w:r>
    </w:p>
    <w:p w14:paraId="7B5D529F" w14:textId="77777777" w:rsidR="008E7E79" w:rsidRPr="00645240" w:rsidRDefault="008E7E79" w:rsidP="008E7E79">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α) θα αποδέχεται πλήρως όλους τους όρους της παρούσης Πρόσκλησης και των παραρτημάτων της,</w:t>
      </w:r>
    </w:p>
    <w:p w14:paraId="4637A47C" w14:textId="77777777" w:rsidR="008E7E79" w:rsidRPr="00645240" w:rsidRDefault="008E7E79" w:rsidP="008E7E79">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5FADF34D" w14:textId="77777777" w:rsidR="008E7E79" w:rsidRPr="00645240" w:rsidRDefault="008E7E79" w:rsidP="008E7E79">
      <w:pPr>
        <w:tabs>
          <w:tab w:val="left" w:pos="567"/>
        </w:tabs>
        <w:autoSpaceDE w:val="0"/>
        <w:autoSpaceDN w:val="0"/>
        <w:adjustRightInd w:val="0"/>
        <w:spacing w:after="160" w:line="240" w:lineRule="atLeast"/>
        <w:ind w:right="-284"/>
        <w:jc w:val="both"/>
        <w:rPr>
          <w:rFonts w:eastAsiaTheme="minorEastAsia"/>
          <w:bCs/>
          <w:sz w:val="24"/>
          <w:szCs w:val="24"/>
        </w:rPr>
      </w:pPr>
      <w:r w:rsidRPr="00645240">
        <w:rPr>
          <w:rFonts w:eastAsiaTheme="minorEastAsia"/>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08488080" w14:textId="5893DECF" w:rsidR="008E7E79" w:rsidRPr="008E7E79" w:rsidRDefault="008E7E79" w:rsidP="008E7E79">
      <w:pPr>
        <w:tabs>
          <w:tab w:val="left" w:pos="567"/>
        </w:tabs>
        <w:autoSpaceDE w:val="0"/>
        <w:autoSpaceDN w:val="0"/>
        <w:adjustRightInd w:val="0"/>
        <w:spacing w:after="160" w:line="240" w:lineRule="atLeast"/>
        <w:ind w:right="-284"/>
        <w:jc w:val="both"/>
        <w:rPr>
          <w:rFonts w:eastAsiaTheme="minorEastAsia"/>
          <w:sz w:val="24"/>
          <w:szCs w:val="24"/>
        </w:rPr>
      </w:pPr>
      <w:r w:rsidRPr="008E7E79">
        <w:rPr>
          <w:rFonts w:eastAsiaTheme="minorEastAsia"/>
          <w:b/>
          <w:bCs/>
          <w:sz w:val="24"/>
          <w:szCs w:val="24"/>
        </w:rPr>
        <w:t xml:space="preserve">2. Υπεύθυνη δήλωση του Ν. 1599/1986 του, </w:t>
      </w:r>
      <w:r w:rsidRPr="008E7E79">
        <w:rPr>
          <w:rFonts w:eastAsiaTheme="minorEastAsia"/>
          <w:sz w:val="24"/>
          <w:szCs w:val="24"/>
        </w:rPr>
        <w:t>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5090/2024</w:t>
      </w:r>
    </w:p>
    <w:p w14:paraId="3DC53BB6" w14:textId="7D226353" w:rsidR="008E7E79" w:rsidRPr="00645240" w:rsidRDefault="008E7E79" w:rsidP="008E7E79">
      <w:pPr>
        <w:widowControl w:val="0"/>
        <w:tabs>
          <w:tab w:val="left" w:pos="284"/>
        </w:tabs>
        <w:autoSpaceDE w:val="0"/>
        <w:autoSpaceDN w:val="0"/>
        <w:spacing w:after="160" w:line="240" w:lineRule="atLeast"/>
        <w:ind w:right="-285"/>
        <w:jc w:val="both"/>
        <w:rPr>
          <w:rFonts w:eastAsiaTheme="minorEastAsia"/>
          <w:bCs/>
          <w:sz w:val="24"/>
          <w:szCs w:val="24"/>
        </w:rPr>
      </w:pPr>
      <w:r>
        <w:rPr>
          <w:rFonts w:eastAsiaTheme="minorEastAsia"/>
          <w:b/>
          <w:sz w:val="24"/>
          <w:szCs w:val="24"/>
        </w:rPr>
        <w:lastRenderedPageBreak/>
        <w:t xml:space="preserve">3. </w:t>
      </w:r>
      <w:r w:rsidRPr="00645240">
        <w:rPr>
          <w:rFonts w:eastAsiaTheme="minorEastAsia"/>
          <w:b/>
          <w:sz w:val="24"/>
          <w:szCs w:val="24"/>
        </w:rPr>
        <w:t xml:space="preserve">Για την απόδειξη της μη συνδρομής των λόγων αποκλεισμού της παρ. 1 του άρθρου 73 του N. 4412/2016, </w:t>
      </w:r>
      <w:r w:rsidRPr="00645240">
        <w:rPr>
          <w:rFonts w:eastAsiaTheme="minorEastAsia"/>
          <w:bCs/>
          <w:sz w:val="24"/>
          <w:szCs w:val="24"/>
        </w:rPr>
        <w:t xml:space="preserve">η εταιρεία υποβάλλει: </w:t>
      </w:r>
    </w:p>
    <w:p w14:paraId="52909A1F" w14:textId="77777777" w:rsidR="008E7E79" w:rsidRPr="00645240" w:rsidRDefault="008E7E79" w:rsidP="008E7E79">
      <w:pPr>
        <w:tabs>
          <w:tab w:val="left" w:pos="284"/>
        </w:tabs>
        <w:autoSpaceDE w:val="0"/>
        <w:autoSpaceDN w:val="0"/>
        <w:adjustRightInd w:val="0"/>
        <w:spacing w:after="160" w:line="259" w:lineRule="auto"/>
        <w:ind w:right="-285"/>
        <w:jc w:val="both"/>
        <w:rPr>
          <w:rFonts w:eastAsiaTheme="minorEastAsia"/>
          <w:bCs/>
          <w:sz w:val="24"/>
          <w:szCs w:val="24"/>
        </w:rPr>
      </w:pPr>
      <w:r w:rsidRPr="00645240">
        <w:rPr>
          <w:rFonts w:eastAsiaTheme="minorEastAsia"/>
          <w:bCs/>
          <w:sz w:val="24"/>
          <w:szCs w:val="24"/>
        </w:rPr>
        <w:t>i.</w:t>
      </w:r>
      <w:r w:rsidRPr="00645240">
        <w:rPr>
          <w:rFonts w:eastAsiaTheme="minorEastAsia"/>
          <w:bCs/>
          <w:sz w:val="24"/>
          <w:szCs w:val="24"/>
        </w:rPr>
        <w:tab/>
      </w:r>
      <w:r w:rsidRPr="00645240">
        <w:rPr>
          <w:rFonts w:eastAsiaTheme="minorEastAsia"/>
          <w:b/>
          <w:sz w:val="24"/>
          <w:szCs w:val="24"/>
        </w:rPr>
        <w:t>Απόσπασμα του ποινικού μητρώου</w:t>
      </w:r>
      <w:r w:rsidRPr="00645240">
        <w:rPr>
          <w:rFonts w:eastAsiaTheme="minorEastAsia"/>
          <w:bCs/>
          <w:sz w:val="24"/>
          <w:szCs w:val="24"/>
        </w:rPr>
        <w:t>, από το οποίο προκύπτει ότι πληρούνται αυτές οι προϋποθέσεις, που να έχει εκδοθεί έως τρεις (3) μήνες πριν από την υποβολή του. Η υποχρέωση προσκόμισης του ως άνω αποσπάσματος αφορά και στα μέλη του διοικητικού, διευθυντικού ή εποπτικού οργάνου της εταιρείας ή στα πρόσωπα που έχουν εξουσία εκπροσώπησης, λήψης αποφάσεων ή ελέγχου σε αυτήν.</w:t>
      </w:r>
    </w:p>
    <w:p w14:paraId="10756B69" w14:textId="77777777" w:rsidR="008E7E79" w:rsidRPr="00645240" w:rsidRDefault="008E7E79" w:rsidP="008E7E79">
      <w:pPr>
        <w:tabs>
          <w:tab w:val="left" w:pos="284"/>
        </w:tabs>
        <w:autoSpaceDE w:val="0"/>
        <w:autoSpaceDN w:val="0"/>
        <w:adjustRightInd w:val="0"/>
        <w:spacing w:after="160" w:line="259" w:lineRule="auto"/>
        <w:ind w:right="-285"/>
        <w:jc w:val="both"/>
        <w:rPr>
          <w:rFonts w:eastAsiaTheme="minorEastAsia"/>
          <w:bCs/>
          <w:sz w:val="24"/>
          <w:szCs w:val="24"/>
        </w:rPr>
      </w:pPr>
      <w:proofErr w:type="spellStart"/>
      <w:r w:rsidRPr="00645240">
        <w:rPr>
          <w:rFonts w:eastAsiaTheme="minorEastAsia"/>
          <w:bCs/>
          <w:sz w:val="24"/>
          <w:szCs w:val="24"/>
        </w:rPr>
        <w:t>ii</w:t>
      </w:r>
      <w:proofErr w:type="spellEnd"/>
      <w:r w:rsidRPr="00645240">
        <w:rPr>
          <w:rFonts w:eastAsiaTheme="minorEastAsia"/>
          <w:bCs/>
          <w:sz w:val="24"/>
          <w:szCs w:val="24"/>
        </w:rPr>
        <w:t>.</w:t>
      </w:r>
      <w:r w:rsidRPr="00645240">
        <w:rPr>
          <w:rFonts w:eastAsiaTheme="minorEastAsia"/>
          <w:bCs/>
          <w:sz w:val="24"/>
          <w:szCs w:val="24"/>
        </w:rPr>
        <w:tab/>
        <w:t xml:space="preserve">Για την απόδειξη της εκπλήρωσης των φορολογικών υποχρεώσεων της, </w:t>
      </w:r>
      <w:r w:rsidRPr="00645240">
        <w:rPr>
          <w:rFonts w:eastAsiaTheme="minorEastAsia"/>
          <w:b/>
          <w:sz w:val="24"/>
          <w:szCs w:val="24"/>
        </w:rPr>
        <w:t>αποδεικτικό ενημερότητας εκδιδόμενο από την Α.Α.Δ.Ε.</w:t>
      </w:r>
      <w:r w:rsidRPr="00645240">
        <w:rPr>
          <w:rFonts w:eastAsiaTheme="minorEastAsia"/>
          <w:bCs/>
          <w:sz w:val="24"/>
          <w:szCs w:val="24"/>
        </w:rPr>
        <w:t xml:space="preserve"> «Για κάθε νόμιμη χρήση, εκτός είσπραξης και εκτός μεταβίβασης ακινήτου».</w:t>
      </w:r>
    </w:p>
    <w:p w14:paraId="03A64DF3" w14:textId="77777777" w:rsidR="008E7E79" w:rsidRPr="00645240" w:rsidRDefault="008E7E79" w:rsidP="008E7E79">
      <w:pPr>
        <w:tabs>
          <w:tab w:val="left" w:pos="284"/>
        </w:tabs>
        <w:autoSpaceDE w:val="0"/>
        <w:autoSpaceDN w:val="0"/>
        <w:adjustRightInd w:val="0"/>
        <w:spacing w:after="160" w:line="259" w:lineRule="auto"/>
        <w:ind w:right="-285"/>
        <w:jc w:val="both"/>
        <w:rPr>
          <w:rFonts w:eastAsiaTheme="minorEastAsia"/>
          <w:bCs/>
          <w:sz w:val="24"/>
          <w:szCs w:val="24"/>
        </w:rPr>
      </w:pPr>
      <w:proofErr w:type="spellStart"/>
      <w:r w:rsidRPr="00645240">
        <w:rPr>
          <w:rFonts w:eastAsiaTheme="minorEastAsia"/>
          <w:bCs/>
          <w:sz w:val="24"/>
          <w:szCs w:val="24"/>
        </w:rPr>
        <w:t>iii</w:t>
      </w:r>
      <w:proofErr w:type="spellEnd"/>
      <w:r w:rsidRPr="00645240">
        <w:rPr>
          <w:rFonts w:eastAsiaTheme="minorEastAsia"/>
          <w:bCs/>
          <w:sz w:val="24"/>
          <w:szCs w:val="24"/>
        </w:rPr>
        <w:t>.</w:t>
      </w:r>
      <w:r w:rsidRPr="00645240">
        <w:rPr>
          <w:rFonts w:eastAsiaTheme="minorEastAsia"/>
          <w:bCs/>
          <w:sz w:val="24"/>
          <w:szCs w:val="24"/>
        </w:rPr>
        <w:tab/>
        <w:t xml:space="preserve">Για την απόδειξη της εκπλήρωσης των υποχρεώσεων προς τους οργανισμούς κοινωνικής ασφάλισης </w:t>
      </w:r>
      <w:r w:rsidRPr="00645240">
        <w:rPr>
          <w:rFonts w:eastAsiaTheme="minorEastAsia"/>
          <w:b/>
          <w:sz w:val="24"/>
          <w:szCs w:val="24"/>
        </w:rPr>
        <w:t>πιστοποιητικό εκδιδόμενο από τον e-ΕΦΚΑ</w:t>
      </w:r>
      <w:r w:rsidRPr="00645240">
        <w:rPr>
          <w:rFonts w:eastAsiaTheme="minorEastAsia"/>
          <w:bCs/>
          <w:sz w:val="24"/>
          <w:szCs w:val="24"/>
        </w:rPr>
        <w:t>. «Για συμμετοχή σε διαγωνισμό προμηθειών Δημοσίου και των Ν.Π.Δ.Δ.».</w:t>
      </w:r>
    </w:p>
    <w:p w14:paraId="1E091C9A" w14:textId="77777777" w:rsidR="008E7E79" w:rsidRPr="00645240" w:rsidRDefault="008E7E79" w:rsidP="008E7E79">
      <w:pPr>
        <w:tabs>
          <w:tab w:val="left" w:pos="360"/>
        </w:tabs>
        <w:spacing w:after="120" w:line="240" w:lineRule="atLeast"/>
        <w:ind w:right="-285"/>
        <w:contextualSpacing/>
        <w:jc w:val="both"/>
        <w:rPr>
          <w:rFonts w:eastAsia="Comic Sans MS"/>
          <w:i/>
          <w:w w:val="105"/>
          <w:sz w:val="24"/>
          <w:szCs w:val="24"/>
          <w:u w:val="single"/>
        </w:rPr>
      </w:pPr>
      <w:r w:rsidRPr="00645240">
        <w:rPr>
          <w:rFonts w:eastAsia="Comic Sans MS"/>
          <w:i/>
          <w:w w:val="105"/>
          <w:sz w:val="24"/>
          <w:szCs w:val="24"/>
          <w:u w:val="single"/>
        </w:rPr>
        <w:t>Σημειώνεται</w:t>
      </w:r>
      <w:r w:rsidRPr="00645240">
        <w:rPr>
          <w:rFonts w:eastAsia="Comic Sans MS"/>
          <w:i/>
          <w:w w:val="105"/>
          <w:sz w:val="24"/>
          <w:szCs w:val="24"/>
        </w:rPr>
        <w:t xml:space="preserve"> </w:t>
      </w:r>
      <w:r w:rsidRPr="00645240">
        <w:rPr>
          <w:rFonts w:eastAsia="Comic Sans MS"/>
          <w:i/>
          <w:w w:val="105"/>
          <w:sz w:val="24"/>
          <w:szCs w:val="24"/>
          <w:u w:val="single"/>
        </w:rPr>
        <w:t>ότι οι υποχρεώσεις των οικονομικών φορέων ως προς τη φορολογική και ασφαλιστική τους ενημερότητα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5E9AF1B2" w14:textId="77777777" w:rsidR="008E7E79" w:rsidRPr="00645240" w:rsidRDefault="008E7E79" w:rsidP="008E7E79">
      <w:pPr>
        <w:widowControl w:val="0"/>
        <w:tabs>
          <w:tab w:val="left" w:pos="284"/>
        </w:tabs>
        <w:autoSpaceDE w:val="0"/>
        <w:autoSpaceDN w:val="0"/>
        <w:spacing w:after="160" w:line="259" w:lineRule="auto"/>
        <w:ind w:right="-285"/>
        <w:jc w:val="both"/>
        <w:rPr>
          <w:rFonts w:eastAsiaTheme="minorEastAsia"/>
          <w:bCs/>
          <w:sz w:val="24"/>
          <w:szCs w:val="24"/>
        </w:rPr>
      </w:pPr>
    </w:p>
    <w:p w14:paraId="79372AE1" w14:textId="3B3CB227" w:rsidR="008E7E79" w:rsidRPr="00645240" w:rsidRDefault="008E7E79" w:rsidP="008E7E79">
      <w:pPr>
        <w:tabs>
          <w:tab w:val="left" w:pos="567"/>
        </w:tabs>
        <w:autoSpaceDE w:val="0"/>
        <w:autoSpaceDN w:val="0"/>
        <w:adjustRightInd w:val="0"/>
        <w:spacing w:after="160" w:line="259" w:lineRule="auto"/>
        <w:ind w:right="-285"/>
        <w:jc w:val="both"/>
        <w:rPr>
          <w:rFonts w:eastAsiaTheme="minorEastAsia"/>
          <w:bCs/>
          <w:sz w:val="24"/>
          <w:szCs w:val="24"/>
        </w:rPr>
      </w:pPr>
      <w:r>
        <w:rPr>
          <w:rFonts w:eastAsiaTheme="minorEastAsia"/>
          <w:b/>
          <w:sz w:val="24"/>
          <w:szCs w:val="24"/>
        </w:rPr>
        <w:t>4</w:t>
      </w:r>
      <w:r w:rsidRPr="00645240">
        <w:rPr>
          <w:rFonts w:eastAsiaTheme="minorEastAsia"/>
          <w:b/>
          <w:sz w:val="24"/>
          <w:szCs w:val="24"/>
        </w:rPr>
        <w:t>. Για την απόδειξη της νόμιμης εκπροσώπησης οφείλει να προσκομίσει</w:t>
      </w:r>
      <w:r w:rsidRPr="00645240">
        <w:rPr>
          <w:rFonts w:eastAsiaTheme="minorEastAsia"/>
          <w:bCs/>
          <w:sz w:val="24"/>
          <w:szCs w:val="24"/>
        </w:rPr>
        <w:t>:</w:t>
      </w:r>
    </w:p>
    <w:p w14:paraId="5474E52F" w14:textId="77777777" w:rsidR="008E7E79" w:rsidRPr="00645240" w:rsidRDefault="008E7E79" w:rsidP="008E7E79">
      <w:pPr>
        <w:tabs>
          <w:tab w:val="left" w:pos="567"/>
        </w:tabs>
        <w:autoSpaceDE w:val="0"/>
        <w:autoSpaceDN w:val="0"/>
        <w:adjustRightInd w:val="0"/>
        <w:spacing w:after="160" w:line="259" w:lineRule="auto"/>
        <w:ind w:left="284" w:right="-285"/>
        <w:jc w:val="both"/>
        <w:rPr>
          <w:rFonts w:eastAsiaTheme="minorEastAsia"/>
          <w:bCs/>
          <w:sz w:val="24"/>
          <w:szCs w:val="24"/>
        </w:rPr>
      </w:pPr>
      <w:r w:rsidRPr="00645240">
        <w:rPr>
          <w:rFonts w:eastAsiaTheme="minorEastAsia"/>
          <w:bCs/>
          <w:sz w:val="24"/>
          <w:szCs w:val="24"/>
        </w:rPr>
        <w:t>-</w:t>
      </w:r>
      <w:r w:rsidRPr="00645240">
        <w:rPr>
          <w:rFonts w:eastAsiaTheme="minorEastAsia"/>
          <w:bCs/>
          <w:sz w:val="24"/>
          <w:szCs w:val="24"/>
        </w:rPr>
        <w:tab/>
      </w:r>
      <w:r w:rsidRPr="00645240">
        <w:rPr>
          <w:rFonts w:eastAsiaTheme="minorEastAsia"/>
          <w:b/>
          <w:sz w:val="24"/>
          <w:szCs w:val="24"/>
        </w:rPr>
        <w:t>Γενικό Πιστοποιητικό της Υπηρεσίας του Γ.Ε.ΜΗ</w:t>
      </w:r>
      <w:r w:rsidRPr="00645240">
        <w:rPr>
          <w:rFonts w:eastAsiaTheme="minorEastAsia"/>
          <w:bCs/>
          <w:sz w:val="24"/>
          <w:szCs w:val="24"/>
        </w:rPr>
        <w:t>., το οποίο πρέπει να έχει εκδοθεί έως τρεις (3) μήνες πριν από την υποβολή του.</w:t>
      </w:r>
    </w:p>
    <w:p w14:paraId="23892833" w14:textId="77777777" w:rsidR="008E7E79" w:rsidRDefault="008E7E79" w:rsidP="008E7E79">
      <w:pPr>
        <w:tabs>
          <w:tab w:val="left" w:pos="567"/>
        </w:tabs>
        <w:autoSpaceDE w:val="0"/>
        <w:autoSpaceDN w:val="0"/>
        <w:adjustRightInd w:val="0"/>
        <w:spacing w:after="160" w:line="259" w:lineRule="auto"/>
        <w:ind w:left="284" w:right="-285"/>
        <w:jc w:val="both"/>
        <w:rPr>
          <w:rFonts w:eastAsiaTheme="minorEastAsia"/>
          <w:bCs/>
          <w:sz w:val="24"/>
          <w:szCs w:val="24"/>
        </w:rPr>
      </w:pPr>
      <w:r w:rsidRPr="00645240">
        <w:rPr>
          <w:rFonts w:eastAsiaTheme="minorEastAsia"/>
          <w:bCs/>
          <w:sz w:val="24"/>
          <w:szCs w:val="24"/>
        </w:rPr>
        <w:t>-</w:t>
      </w:r>
      <w:r w:rsidRPr="00645240">
        <w:rPr>
          <w:rFonts w:eastAsiaTheme="minorEastAsia"/>
          <w:bCs/>
          <w:sz w:val="24"/>
          <w:szCs w:val="24"/>
        </w:rPr>
        <w:tab/>
      </w:r>
      <w:r w:rsidRPr="00645240">
        <w:rPr>
          <w:rFonts w:eastAsiaTheme="minorEastAsia"/>
          <w:b/>
          <w:sz w:val="24"/>
          <w:szCs w:val="24"/>
        </w:rPr>
        <w:t>Πιστοποιητικό Ισχύουσας Εκπροσώπησης της Υπηρεσίας του Γ.Ε.ΜΗ</w:t>
      </w:r>
      <w:r w:rsidRPr="00645240">
        <w:rPr>
          <w:rFonts w:eastAsiaTheme="minorEastAsia"/>
          <w:bCs/>
          <w:sz w:val="24"/>
          <w:szCs w:val="24"/>
        </w:rPr>
        <w:t>., το οποίο πρέπει να έχει εκδοθεί έως τριάντα (30) εργάσιμες ημέρες πριν από την υποβολή του.</w:t>
      </w:r>
    </w:p>
    <w:p w14:paraId="1A655E5B" w14:textId="77777777" w:rsidR="008E7E79" w:rsidRPr="00DC2082" w:rsidRDefault="008E7E79" w:rsidP="008E7E79">
      <w:pPr>
        <w:pStyle w:val="a5"/>
        <w:spacing w:line="240" w:lineRule="atLeast"/>
        <w:jc w:val="both"/>
        <w:rPr>
          <w:sz w:val="24"/>
          <w:szCs w:val="24"/>
        </w:rPr>
      </w:pPr>
    </w:p>
    <w:p w14:paraId="1D673D76" w14:textId="01DEC3CF" w:rsidR="008E7E79" w:rsidRPr="008E7E79" w:rsidRDefault="00425ED0" w:rsidP="008E7E79">
      <w:pPr>
        <w:tabs>
          <w:tab w:val="left" w:pos="567"/>
        </w:tabs>
        <w:autoSpaceDE w:val="0"/>
        <w:autoSpaceDN w:val="0"/>
        <w:adjustRightInd w:val="0"/>
        <w:spacing w:after="160" w:line="259" w:lineRule="auto"/>
        <w:ind w:right="-285"/>
        <w:jc w:val="both"/>
        <w:rPr>
          <w:rFonts w:eastAsiaTheme="minorEastAsia"/>
          <w:b/>
          <w:sz w:val="24"/>
          <w:szCs w:val="24"/>
        </w:rPr>
      </w:pPr>
      <w:r>
        <w:rPr>
          <w:rFonts w:eastAsiaTheme="minorEastAsia"/>
          <w:b/>
          <w:sz w:val="24"/>
          <w:szCs w:val="24"/>
        </w:rPr>
        <w:t>2</w:t>
      </w:r>
      <w:r w:rsidR="008E7E79" w:rsidRPr="008E7E79">
        <w:rPr>
          <w:rFonts w:eastAsiaTheme="minorEastAsia"/>
          <w:b/>
          <w:sz w:val="24"/>
          <w:szCs w:val="24"/>
        </w:rPr>
        <w:t>. ΟΙΚΟΝΟΜΙΚΗ ΠΡΟΣΦΟΡΑ:</w:t>
      </w:r>
    </w:p>
    <w:p w14:paraId="1CAD98C2" w14:textId="7D1C3D5A" w:rsidR="008E7E79" w:rsidRPr="008E7E79" w:rsidRDefault="008E7E79" w:rsidP="008E7E79">
      <w:pPr>
        <w:tabs>
          <w:tab w:val="left" w:pos="567"/>
        </w:tabs>
        <w:autoSpaceDE w:val="0"/>
        <w:autoSpaceDN w:val="0"/>
        <w:adjustRightInd w:val="0"/>
        <w:spacing w:after="160" w:line="259" w:lineRule="auto"/>
        <w:ind w:right="-285"/>
        <w:jc w:val="both"/>
        <w:rPr>
          <w:rFonts w:eastAsiaTheme="minorEastAsia"/>
          <w:bCs/>
          <w:sz w:val="24"/>
          <w:szCs w:val="24"/>
        </w:rPr>
      </w:pPr>
      <w:r w:rsidRPr="008E7E79">
        <w:rPr>
          <w:rFonts w:eastAsiaTheme="minorEastAsia"/>
          <w:bCs/>
          <w:sz w:val="24"/>
          <w:szCs w:val="24"/>
        </w:rPr>
        <w:t xml:space="preserve">Η </w:t>
      </w:r>
      <w:r w:rsidR="00535A83">
        <w:rPr>
          <w:rFonts w:eastAsiaTheme="minorEastAsia"/>
          <w:bCs/>
          <w:sz w:val="24"/>
          <w:szCs w:val="24"/>
        </w:rPr>
        <w:t xml:space="preserve">οικονομική </w:t>
      </w:r>
      <w:r w:rsidRPr="008E7E79">
        <w:rPr>
          <w:rFonts w:eastAsiaTheme="minorEastAsia"/>
          <w:bCs/>
          <w:sz w:val="24"/>
          <w:szCs w:val="24"/>
        </w:rPr>
        <w:t xml:space="preserve">προσφορά </w:t>
      </w:r>
      <w:r w:rsidR="00535A83">
        <w:rPr>
          <w:rFonts w:eastAsiaTheme="minorEastAsia"/>
          <w:bCs/>
          <w:sz w:val="24"/>
          <w:szCs w:val="24"/>
        </w:rPr>
        <w:t xml:space="preserve">(Παράρτημα ΙΙ) </w:t>
      </w:r>
      <w:r w:rsidRPr="008E7E79">
        <w:rPr>
          <w:rFonts w:eastAsiaTheme="minorEastAsia"/>
          <w:bCs/>
          <w:sz w:val="24"/>
          <w:szCs w:val="24"/>
        </w:rPr>
        <w:t>κάθε συμμετέχοντα υπογράφεται από τον ίδιο ή από τον νόμιμο εκπρόσωπό του και φέρει σφραγίδα. 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55A93DAB" w14:textId="77777777" w:rsidR="008E7E79" w:rsidRDefault="008E7E79" w:rsidP="0077733D">
      <w:pPr>
        <w:tabs>
          <w:tab w:val="left" w:pos="567"/>
        </w:tabs>
        <w:autoSpaceDE w:val="0"/>
        <w:autoSpaceDN w:val="0"/>
        <w:adjustRightInd w:val="0"/>
        <w:ind w:right="-285"/>
        <w:jc w:val="both"/>
        <w:rPr>
          <w:b/>
          <w:sz w:val="24"/>
          <w:szCs w:val="24"/>
        </w:rPr>
      </w:pPr>
    </w:p>
    <w:p w14:paraId="19351799" w14:textId="77777777" w:rsidR="008E7E79" w:rsidRPr="00645240" w:rsidRDefault="008E7E79" w:rsidP="008E7E79">
      <w:pPr>
        <w:keepNext/>
        <w:spacing w:after="200" w:line="259" w:lineRule="auto"/>
        <w:contextualSpacing/>
        <w:jc w:val="center"/>
        <w:outlineLvl w:val="2"/>
        <w:rPr>
          <w:rFonts w:eastAsiaTheme="minorEastAsia"/>
          <w:b/>
          <w:sz w:val="24"/>
          <w:szCs w:val="24"/>
        </w:rPr>
      </w:pPr>
      <w:r w:rsidRPr="00645240">
        <w:rPr>
          <w:rFonts w:eastAsiaTheme="minorEastAsia"/>
          <w:b/>
          <w:sz w:val="24"/>
          <w:szCs w:val="24"/>
        </w:rPr>
        <w:lastRenderedPageBreak/>
        <w:t xml:space="preserve">Άρθρο 5: </w:t>
      </w:r>
      <w:r w:rsidRPr="00645240">
        <w:rPr>
          <w:rFonts w:eastAsiaTheme="minorEastAsia"/>
          <w:b/>
          <w:sz w:val="24"/>
          <w:szCs w:val="24"/>
          <w:lang w:eastAsia="en-US"/>
        </w:rPr>
        <w:t>Ισχύς των προσφορών</w:t>
      </w:r>
    </w:p>
    <w:p w14:paraId="24D71875"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 xml:space="preserve">Οι προσφορές ισχύουν και δεσμεύουν τους συμμετέχοντες στην πρόσκληση για </w:t>
      </w:r>
      <w:proofErr w:type="spellStart"/>
      <w:r w:rsidRPr="00645240">
        <w:rPr>
          <w:rFonts w:eastAsiaTheme="minorEastAsia"/>
          <w:b/>
          <w:sz w:val="24"/>
          <w:szCs w:val="24"/>
        </w:rPr>
        <w:t>εκατόν</w:t>
      </w:r>
      <w:proofErr w:type="spellEnd"/>
      <w:r w:rsidRPr="00645240">
        <w:rPr>
          <w:rFonts w:eastAsiaTheme="minorEastAsia"/>
          <w:b/>
          <w:sz w:val="24"/>
          <w:szCs w:val="24"/>
        </w:rPr>
        <w:t xml:space="preserve"> είκοσι (120)</w:t>
      </w:r>
      <w:r w:rsidRPr="00645240">
        <w:rPr>
          <w:rFonts w:eastAsiaTheme="minorEastAsia"/>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AD20C1B"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17274C37" w14:textId="77777777" w:rsidR="008E7E79" w:rsidRPr="00645240" w:rsidRDefault="008E7E79" w:rsidP="008E7E79">
      <w:pPr>
        <w:spacing w:after="160" w:line="259" w:lineRule="auto"/>
        <w:ind w:right="-427"/>
        <w:contextualSpacing/>
        <w:jc w:val="both"/>
        <w:rPr>
          <w:rFonts w:eastAsiaTheme="minorEastAsia"/>
          <w:sz w:val="24"/>
          <w:szCs w:val="24"/>
        </w:rPr>
      </w:pPr>
    </w:p>
    <w:p w14:paraId="59A39CBE" w14:textId="77777777" w:rsidR="008E7E79" w:rsidRPr="00DB0B18" w:rsidRDefault="008E7E79" w:rsidP="008E7E79">
      <w:pPr>
        <w:contextualSpacing/>
        <w:jc w:val="center"/>
        <w:rPr>
          <w:b/>
          <w:bCs/>
          <w:sz w:val="24"/>
          <w:szCs w:val="24"/>
        </w:rPr>
      </w:pPr>
      <w:r w:rsidRPr="00A836F0">
        <w:rPr>
          <w:b/>
          <w:bCs/>
          <w:sz w:val="24"/>
          <w:szCs w:val="24"/>
        </w:rPr>
        <w:t xml:space="preserve">Άρθρο </w:t>
      </w:r>
      <w:r>
        <w:rPr>
          <w:b/>
          <w:bCs/>
          <w:sz w:val="24"/>
          <w:szCs w:val="24"/>
        </w:rPr>
        <w:t>6</w:t>
      </w:r>
    </w:p>
    <w:p w14:paraId="74C0F8CA" w14:textId="77777777" w:rsidR="008E7E79" w:rsidRPr="00A836F0" w:rsidRDefault="008E7E79" w:rsidP="008E7E79">
      <w:pPr>
        <w:contextualSpacing/>
        <w:jc w:val="center"/>
        <w:rPr>
          <w:b/>
          <w:bCs/>
          <w:sz w:val="24"/>
          <w:szCs w:val="24"/>
        </w:rPr>
      </w:pPr>
      <w:r w:rsidRPr="00A836F0">
        <w:rPr>
          <w:b/>
          <w:bCs/>
          <w:sz w:val="24"/>
          <w:szCs w:val="24"/>
          <w:lang w:eastAsia="en-US"/>
        </w:rPr>
        <w:t>Αξιολόγηση των προσφορών - Ανάθεση</w:t>
      </w:r>
    </w:p>
    <w:p w14:paraId="11215054" w14:textId="5A561DA2" w:rsidR="008E7E79" w:rsidRPr="00645240" w:rsidRDefault="008E7E79" w:rsidP="008E7E79">
      <w:pPr>
        <w:ind w:right="-427"/>
        <w:jc w:val="both"/>
        <w:rPr>
          <w:sz w:val="24"/>
          <w:szCs w:val="24"/>
        </w:rPr>
      </w:pPr>
      <w:r w:rsidRPr="00645240">
        <w:rPr>
          <w:bCs/>
          <w:sz w:val="24"/>
          <w:szCs w:val="24"/>
        </w:rPr>
        <w:t xml:space="preserve">Η ανάθεση θα γίνει για το σύνολο των ειδών στην εταιρεία με την πλέον συμφέρουσα  από οικονομική άποψη προσφορά βάσει της τιμής, που πληροί τις τεχνικές προδιαγραφές του Παραρτήματος  </w:t>
      </w:r>
      <w:r w:rsidRPr="00645240">
        <w:rPr>
          <w:bCs/>
          <w:sz w:val="24"/>
          <w:szCs w:val="24"/>
          <w:lang w:val="en-US"/>
        </w:rPr>
        <w:t>I</w:t>
      </w:r>
      <w:r w:rsidRPr="00645240">
        <w:rPr>
          <w:sz w:val="24"/>
          <w:szCs w:val="24"/>
        </w:rPr>
        <w:t>.</w:t>
      </w:r>
    </w:p>
    <w:p w14:paraId="46135D5D" w14:textId="406ACB23" w:rsidR="008E7E79" w:rsidRPr="00645240" w:rsidRDefault="008E7E79" w:rsidP="000460C0">
      <w:pPr>
        <w:tabs>
          <w:tab w:val="left" w:pos="567"/>
        </w:tabs>
        <w:autoSpaceDE w:val="0"/>
        <w:autoSpaceDN w:val="0"/>
        <w:adjustRightInd w:val="0"/>
        <w:ind w:right="-425"/>
        <w:jc w:val="both"/>
        <w:rPr>
          <w:rFonts w:eastAsiaTheme="minorEastAsia"/>
          <w:sz w:val="24"/>
          <w:szCs w:val="24"/>
        </w:rPr>
      </w:pPr>
      <w:r w:rsidRPr="00645240">
        <w:rPr>
          <w:rFonts w:eastAsiaTheme="minorEastAsia"/>
          <w:sz w:val="24"/>
          <w:szCs w:val="24"/>
        </w:rPr>
        <w:t>Το σύνολο της οικονομικής προσφοράς, δεν πρέπει να υπερβαίνει το σύνολο της εγκεκριμένης προϋπολογισθείσας δαπάνης.</w:t>
      </w:r>
    </w:p>
    <w:p w14:paraId="6FF1911F" w14:textId="77777777" w:rsidR="008E7E79" w:rsidRPr="00645240" w:rsidRDefault="008E7E79" w:rsidP="000460C0">
      <w:pPr>
        <w:ind w:right="-425"/>
        <w:jc w:val="both"/>
        <w:rPr>
          <w:rFonts w:eastAsiaTheme="minorEastAsia"/>
          <w:sz w:val="24"/>
          <w:szCs w:val="24"/>
        </w:rPr>
      </w:pPr>
      <w:r w:rsidRPr="00645240">
        <w:rPr>
          <w:rFonts w:eastAsiaTheme="minorEastAsia"/>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645240">
        <w:rPr>
          <w:rFonts w:eastAsiaTheme="minorEastAsia"/>
          <w:sz w:val="24"/>
          <w:szCs w:val="24"/>
        </w:rPr>
        <w:t>αρ</w:t>
      </w:r>
      <w:proofErr w:type="spellEnd"/>
      <w:r w:rsidRPr="00645240">
        <w:rPr>
          <w:rFonts w:eastAsiaTheme="minorEastAsia"/>
          <w:sz w:val="24"/>
          <w:szCs w:val="24"/>
        </w:rPr>
        <w:t>. 90 του Ν. 4412/2016 (ΦΕΚ Α΄147).</w:t>
      </w:r>
    </w:p>
    <w:p w14:paraId="21595863" w14:textId="77777777" w:rsidR="008E7E79" w:rsidRPr="00645240" w:rsidRDefault="008E7E79" w:rsidP="000460C0">
      <w:pPr>
        <w:ind w:right="-425"/>
        <w:contextualSpacing/>
        <w:jc w:val="both"/>
        <w:rPr>
          <w:rFonts w:eastAsiaTheme="minorEastAsia"/>
          <w:sz w:val="24"/>
          <w:szCs w:val="24"/>
        </w:rPr>
      </w:pPr>
      <w:r w:rsidRPr="00645240">
        <w:rPr>
          <w:rFonts w:eastAsiaTheme="minorEastAsia"/>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7BA086D5" w14:textId="77777777" w:rsidR="008E7E79" w:rsidRPr="00645240" w:rsidRDefault="008E7E79" w:rsidP="008E7E79">
      <w:pPr>
        <w:spacing w:after="160" w:line="259" w:lineRule="auto"/>
        <w:ind w:right="-427"/>
        <w:jc w:val="both"/>
        <w:rPr>
          <w:rFonts w:eastAsiaTheme="minorEastAsia"/>
          <w:sz w:val="24"/>
          <w:szCs w:val="24"/>
        </w:rPr>
      </w:pPr>
    </w:p>
    <w:p w14:paraId="58619469" w14:textId="77777777" w:rsidR="008E7E79" w:rsidRPr="00645240" w:rsidRDefault="008E7E79" w:rsidP="008E7E79">
      <w:pPr>
        <w:spacing w:after="160" w:line="259" w:lineRule="auto"/>
        <w:ind w:right="-285"/>
        <w:contextualSpacing/>
        <w:jc w:val="center"/>
        <w:rPr>
          <w:rFonts w:eastAsiaTheme="minorEastAsia"/>
          <w:b/>
          <w:bCs/>
          <w:sz w:val="24"/>
          <w:szCs w:val="24"/>
        </w:rPr>
      </w:pPr>
      <w:r w:rsidRPr="00645240">
        <w:rPr>
          <w:rFonts w:eastAsiaTheme="minorEastAsia"/>
          <w:b/>
          <w:bCs/>
          <w:sz w:val="24"/>
          <w:szCs w:val="24"/>
        </w:rPr>
        <w:t>Άρθρο 7: Πληρωμή</w:t>
      </w:r>
    </w:p>
    <w:p w14:paraId="328763E0"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ahoma"/>
          <w:sz w:val="24"/>
          <w:szCs w:val="24"/>
        </w:rPr>
        <w:t xml:space="preserve">Η πληρωμή θα γίνεται σε Ευρώ, βάσει του τιμολογίου του αναδόχου, </w:t>
      </w:r>
      <w:r w:rsidRPr="00645240">
        <w:rPr>
          <w:rFonts w:eastAsiaTheme="minorEastAsia"/>
          <w:sz w:val="24"/>
          <w:szCs w:val="24"/>
        </w:rPr>
        <w:t xml:space="preserve">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0F0F5927"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645240">
        <w:rPr>
          <w:rFonts w:eastAsiaTheme="minorEastAsia"/>
          <w:sz w:val="24"/>
          <w:szCs w:val="24"/>
        </w:rPr>
        <w:t>βαρύνεται</w:t>
      </w:r>
      <w:proofErr w:type="spellEnd"/>
      <w:r w:rsidRPr="00645240">
        <w:rPr>
          <w:rFonts w:eastAsiaTheme="minorEastAsia"/>
          <w:sz w:val="24"/>
          <w:szCs w:val="24"/>
        </w:rPr>
        <w:t xml:space="preserve"> με τις ακόλουθες κρατήσεις: </w:t>
      </w:r>
    </w:p>
    <w:p w14:paraId="5ADBD94D"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w:t>
      </w:r>
      <w:r w:rsidRPr="00645240">
        <w:rPr>
          <w:rFonts w:eastAsiaTheme="minorEastAsia"/>
          <w:sz w:val="24"/>
          <w:szCs w:val="24"/>
        </w:rPr>
        <w:tab/>
        <w:t>Κράτηση 0,10% υπέρ της Ενιαίας Αρχής Δημοσίων Συμβάσεων.</w:t>
      </w:r>
    </w:p>
    <w:p w14:paraId="3F2C384A"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w:t>
      </w:r>
      <w:r w:rsidRPr="00645240">
        <w:rPr>
          <w:rFonts w:eastAsiaTheme="minorEastAsia"/>
          <w:sz w:val="24"/>
          <w:szCs w:val="24"/>
        </w:rPr>
        <w:tab/>
        <w:t>Παρακράτηση φόρου 4% για την οποία  χορηγείται σχετική βεβαίωση</w:t>
      </w:r>
    </w:p>
    <w:p w14:paraId="1E783624" w14:textId="77777777" w:rsidR="008E7E79" w:rsidRPr="00645240" w:rsidRDefault="008E7E79" w:rsidP="008E7E79">
      <w:pPr>
        <w:spacing w:after="160" w:line="259" w:lineRule="auto"/>
        <w:ind w:right="-427"/>
        <w:contextualSpacing/>
        <w:jc w:val="both"/>
        <w:rPr>
          <w:rFonts w:eastAsiaTheme="minorEastAsia"/>
          <w:sz w:val="24"/>
          <w:szCs w:val="24"/>
        </w:rPr>
      </w:pPr>
      <w:r w:rsidRPr="00645240">
        <w:rPr>
          <w:rFonts w:eastAsiaTheme="minorEastAsia"/>
          <w:sz w:val="24"/>
          <w:szCs w:val="24"/>
        </w:rPr>
        <w:t>•</w:t>
      </w:r>
      <w:r w:rsidRPr="00645240">
        <w:rPr>
          <w:rFonts w:eastAsiaTheme="minorEastAsia"/>
          <w:sz w:val="24"/>
          <w:szCs w:val="24"/>
        </w:rPr>
        <w:tab/>
        <w:t>Κάθε άλλη νόμιμη επιβάρυνση</w:t>
      </w:r>
    </w:p>
    <w:p w14:paraId="7FE02F7E" w14:textId="77777777" w:rsidR="002B0D78" w:rsidRDefault="002B0D78" w:rsidP="00DF3D75">
      <w:pPr>
        <w:autoSpaceDE w:val="0"/>
        <w:autoSpaceDN w:val="0"/>
        <w:adjustRightInd w:val="0"/>
        <w:ind w:left="3240" w:right="-342" w:firstLine="720"/>
        <w:jc w:val="center"/>
        <w:rPr>
          <w:b/>
          <w:sz w:val="22"/>
          <w:szCs w:val="22"/>
        </w:rPr>
      </w:pPr>
    </w:p>
    <w:p w14:paraId="7448886C" w14:textId="13D57B19" w:rsidR="00DF3D75" w:rsidRPr="008E7E79" w:rsidRDefault="00DF3D75" w:rsidP="00DF3D75">
      <w:pPr>
        <w:autoSpaceDE w:val="0"/>
        <w:autoSpaceDN w:val="0"/>
        <w:adjustRightInd w:val="0"/>
        <w:ind w:left="3240" w:right="-342" w:firstLine="720"/>
        <w:jc w:val="center"/>
        <w:rPr>
          <w:b/>
          <w:sz w:val="24"/>
          <w:szCs w:val="24"/>
        </w:rPr>
      </w:pPr>
      <w:r w:rsidRPr="008E7E79">
        <w:rPr>
          <w:b/>
          <w:sz w:val="24"/>
          <w:szCs w:val="24"/>
        </w:rPr>
        <w:t xml:space="preserve">Ο </w:t>
      </w:r>
      <w:r w:rsidR="00A942EA" w:rsidRPr="008E7E79">
        <w:rPr>
          <w:b/>
          <w:sz w:val="24"/>
          <w:szCs w:val="24"/>
        </w:rPr>
        <w:t>Π</w:t>
      </w:r>
      <w:r w:rsidRPr="008E7E79">
        <w:rPr>
          <w:b/>
          <w:sz w:val="24"/>
          <w:szCs w:val="24"/>
        </w:rPr>
        <w:t xml:space="preserve">ρύτανης </w:t>
      </w:r>
    </w:p>
    <w:p w14:paraId="1DA69E68" w14:textId="77777777" w:rsidR="00DF3D75" w:rsidRPr="008E7E79" w:rsidRDefault="00DF3D75" w:rsidP="00DF3D75">
      <w:pPr>
        <w:autoSpaceDE w:val="0"/>
        <w:autoSpaceDN w:val="0"/>
        <w:adjustRightInd w:val="0"/>
        <w:ind w:left="3240" w:right="-342" w:firstLine="720"/>
        <w:jc w:val="center"/>
        <w:rPr>
          <w:b/>
          <w:sz w:val="24"/>
          <w:szCs w:val="24"/>
        </w:rPr>
      </w:pPr>
      <w:r w:rsidRPr="008E7E79">
        <w:rPr>
          <w:b/>
          <w:sz w:val="24"/>
          <w:szCs w:val="24"/>
        </w:rPr>
        <w:t>του Πανεπιστημίου Κρήτης</w:t>
      </w:r>
    </w:p>
    <w:p w14:paraId="3A5F55FB" w14:textId="77777777" w:rsidR="008E7E79" w:rsidRPr="008E7E79" w:rsidRDefault="008E7E79" w:rsidP="00DF3D75">
      <w:pPr>
        <w:jc w:val="center"/>
        <w:rPr>
          <w:b/>
          <w:sz w:val="24"/>
          <w:szCs w:val="24"/>
        </w:rPr>
      </w:pPr>
    </w:p>
    <w:p w14:paraId="2DE5B8D7" w14:textId="77777777" w:rsidR="002036AD" w:rsidRPr="008E7E79" w:rsidRDefault="002036AD" w:rsidP="00DF3D75">
      <w:pPr>
        <w:jc w:val="center"/>
        <w:rPr>
          <w:b/>
          <w:sz w:val="24"/>
          <w:szCs w:val="24"/>
        </w:rPr>
      </w:pPr>
    </w:p>
    <w:p w14:paraId="203345E2" w14:textId="64347AE0" w:rsidR="008862C4" w:rsidRPr="008E7E79" w:rsidRDefault="00DF3D75" w:rsidP="00DF3D75">
      <w:pPr>
        <w:jc w:val="center"/>
        <w:rPr>
          <w:b/>
          <w:sz w:val="24"/>
          <w:szCs w:val="24"/>
        </w:rPr>
      </w:pPr>
      <w:r w:rsidRPr="008E7E79">
        <w:rPr>
          <w:b/>
          <w:sz w:val="24"/>
          <w:szCs w:val="24"/>
        </w:rPr>
        <w:t xml:space="preserve">                                                                                Καθηγητής </w:t>
      </w:r>
    </w:p>
    <w:p w14:paraId="7A8322A8" w14:textId="3D804E1E" w:rsidR="002B0D78" w:rsidRDefault="008862C4" w:rsidP="00DB7935">
      <w:pPr>
        <w:jc w:val="center"/>
        <w:rPr>
          <w:b/>
          <w:sz w:val="24"/>
          <w:szCs w:val="24"/>
        </w:rPr>
      </w:pPr>
      <w:r w:rsidRPr="008E7E79">
        <w:rPr>
          <w:b/>
          <w:sz w:val="24"/>
          <w:szCs w:val="24"/>
        </w:rPr>
        <w:t xml:space="preserve">                                                                                 </w:t>
      </w:r>
      <w:r w:rsidR="00A942EA" w:rsidRPr="008E7E79">
        <w:rPr>
          <w:b/>
          <w:sz w:val="24"/>
          <w:szCs w:val="24"/>
        </w:rPr>
        <w:t xml:space="preserve">Γεώργιος </w:t>
      </w:r>
      <w:r w:rsidR="00F86C8B" w:rsidRPr="008E7E79">
        <w:rPr>
          <w:b/>
          <w:sz w:val="24"/>
          <w:szCs w:val="24"/>
        </w:rPr>
        <w:t xml:space="preserve">Μ. </w:t>
      </w:r>
      <w:r w:rsidR="00A942EA" w:rsidRPr="008E7E79">
        <w:rPr>
          <w:b/>
          <w:sz w:val="24"/>
          <w:szCs w:val="24"/>
        </w:rPr>
        <w:t>Κοντάκης</w:t>
      </w:r>
      <w:r w:rsidR="002B0D78">
        <w:rPr>
          <w:b/>
          <w:sz w:val="24"/>
          <w:szCs w:val="24"/>
        </w:rPr>
        <w:br w:type="page"/>
      </w:r>
    </w:p>
    <w:p w14:paraId="3345FD10" w14:textId="09D3DEF4" w:rsidR="00DF3D75" w:rsidRPr="006261EB" w:rsidRDefault="00461FE1" w:rsidP="00EE3DD8">
      <w:pPr>
        <w:jc w:val="center"/>
        <w:rPr>
          <w:b/>
          <w:sz w:val="24"/>
          <w:szCs w:val="24"/>
        </w:rPr>
      </w:pPr>
      <w:r w:rsidRPr="006261EB">
        <w:rPr>
          <w:b/>
          <w:sz w:val="24"/>
          <w:szCs w:val="24"/>
        </w:rPr>
        <w:lastRenderedPageBreak/>
        <w:t>ΠΑΡΑΡΤΗΜΑ</w:t>
      </w:r>
      <w:r w:rsidR="00804785" w:rsidRPr="006261EB">
        <w:rPr>
          <w:b/>
          <w:sz w:val="24"/>
          <w:szCs w:val="24"/>
        </w:rPr>
        <w:t xml:space="preserve"> </w:t>
      </w:r>
      <w:r w:rsidR="0067562E">
        <w:rPr>
          <w:b/>
          <w:sz w:val="24"/>
          <w:szCs w:val="24"/>
        </w:rPr>
        <w:t xml:space="preserve"> Ι </w:t>
      </w:r>
      <w:r w:rsidR="00804785" w:rsidRPr="006261EB">
        <w:rPr>
          <w:b/>
          <w:sz w:val="24"/>
          <w:szCs w:val="24"/>
        </w:rPr>
        <w:t>– ΤΕΧΝΙΚΕΣ ΠΡΟΔΙΑΓΡΑΦΕΣ</w:t>
      </w:r>
    </w:p>
    <w:p w14:paraId="1987AD5A" w14:textId="77777777" w:rsidR="00C62D9A" w:rsidRDefault="00C62D9A" w:rsidP="00DF3D75">
      <w:pPr>
        <w:pStyle w:val="a4"/>
        <w:spacing w:line="280" w:lineRule="atLeast"/>
        <w:ind w:right="-285"/>
        <w:jc w:val="center"/>
        <w:rPr>
          <w:b/>
        </w:rPr>
      </w:pPr>
    </w:p>
    <w:p w14:paraId="6A6CED25" w14:textId="77777777" w:rsidR="00C62D9A" w:rsidRPr="00D74C44" w:rsidRDefault="00C62D9A" w:rsidP="00C62D9A">
      <w:pPr>
        <w:pStyle w:val="a4"/>
        <w:spacing w:line="280" w:lineRule="atLeast"/>
        <w:ind w:right="-285"/>
        <w:rPr>
          <w:b/>
        </w:rPr>
      </w:pPr>
    </w:p>
    <w:p w14:paraId="00A7955C" w14:textId="07881DB0" w:rsidR="00D41B8C" w:rsidRPr="00D74C44" w:rsidRDefault="00D41B8C" w:rsidP="00D41B8C">
      <w:pPr>
        <w:jc w:val="both"/>
        <w:rPr>
          <w:b/>
          <w:bCs/>
          <w:sz w:val="24"/>
          <w:szCs w:val="24"/>
        </w:rPr>
      </w:pPr>
      <w:r w:rsidRPr="00D74C44">
        <w:rPr>
          <w:b/>
          <w:bCs/>
          <w:sz w:val="24"/>
          <w:szCs w:val="24"/>
        </w:rPr>
        <w:t>Θέμα</w:t>
      </w:r>
      <w:r w:rsidRPr="00D74C44">
        <w:rPr>
          <w:b/>
          <w:bCs/>
          <w:sz w:val="22"/>
          <w:szCs w:val="22"/>
        </w:rPr>
        <w:t xml:space="preserve"> :</w:t>
      </w:r>
      <w:r w:rsidR="00DC25E6" w:rsidRPr="00D74C44">
        <w:rPr>
          <w:b/>
          <w:bCs/>
          <w:sz w:val="22"/>
          <w:szCs w:val="22"/>
        </w:rPr>
        <w:t xml:space="preserve"> </w:t>
      </w:r>
      <w:r w:rsidRPr="00D74C44">
        <w:rPr>
          <w:sz w:val="24"/>
          <w:szCs w:val="24"/>
        </w:rPr>
        <w:t>«</w:t>
      </w:r>
      <w:r w:rsidR="00334212" w:rsidRPr="00334212">
        <w:rPr>
          <w:b/>
          <w:bCs/>
          <w:sz w:val="24"/>
          <w:szCs w:val="24"/>
        </w:rPr>
        <w:t>Π</w:t>
      </w:r>
      <w:r w:rsidR="00334212" w:rsidRPr="004550E7">
        <w:rPr>
          <w:b/>
          <w:sz w:val="24"/>
          <w:szCs w:val="24"/>
        </w:rPr>
        <w:t xml:space="preserve">ρομήθεια εργαστηριακών ειδών για τις ανάγκες των ερευνητικών και εκπαιδευτικών δραστηριοτήτων της Επίκουρης Καθηγήτριας </w:t>
      </w:r>
      <w:proofErr w:type="spellStart"/>
      <w:r w:rsidR="00334212" w:rsidRPr="004550E7">
        <w:rPr>
          <w:b/>
          <w:sz w:val="24"/>
          <w:szCs w:val="24"/>
        </w:rPr>
        <w:t>Ραυτογιάννη</w:t>
      </w:r>
      <w:proofErr w:type="spellEnd"/>
      <w:r w:rsidR="00334212" w:rsidRPr="004550E7">
        <w:rPr>
          <w:b/>
          <w:sz w:val="24"/>
          <w:szCs w:val="24"/>
        </w:rPr>
        <w:t xml:space="preserve"> Ανδρονίκης στο Εργαστήριο </w:t>
      </w:r>
      <w:proofErr w:type="spellStart"/>
      <w:r w:rsidR="00334212" w:rsidRPr="004550E7">
        <w:rPr>
          <w:b/>
          <w:sz w:val="24"/>
          <w:szCs w:val="24"/>
        </w:rPr>
        <w:t>νευροεπιστημών</w:t>
      </w:r>
      <w:proofErr w:type="spellEnd"/>
      <w:r w:rsidR="00334212" w:rsidRPr="004550E7">
        <w:rPr>
          <w:b/>
          <w:sz w:val="24"/>
          <w:szCs w:val="24"/>
        </w:rPr>
        <w:t xml:space="preserve"> της συμπεριφοράς του Τμήματος Ψυχολογίας του Πανεπιστημίου Κρήτης</w:t>
      </w:r>
      <w:r w:rsidRPr="00D74C44">
        <w:rPr>
          <w:b/>
          <w:bCs/>
          <w:sz w:val="24"/>
          <w:szCs w:val="24"/>
        </w:rPr>
        <w:t>».</w:t>
      </w:r>
    </w:p>
    <w:p w14:paraId="317C7B65" w14:textId="77777777" w:rsidR="00D74C44" w:rsidRPr="00D74C44" w:rsidRDefault="00D74C44" w:rsidP="00D41B8C">
      <w:pPr>
        <w:jc w:val="both"/>
        <w:rPr>
          <w:b/>
          <w:bCs/>
          <w:sz w:val="24"/>
          <w:szCs w:val="24"/>
        </w:rPr>
      </w:pPr>
    </w:p>
    <w:p w14:paraId="38198CD1" w14:textId="77777777" w:rsidR="00D41B8C" w:rsidRPr="00D74C44" w:rsidRDefault="00D41B8C" w:rsidP="00D41B8C">
      <w:pPr>
        <w:jc w:val="both"/>
        <w:rPr>
          <w:b/>
          <w:sz w:val="24"/>
          <w:szCs w:val="24"/>
        </w:rPr>
      </w:pPr>
    </w:p>
    <w:p w14:paraId="473BEFB7" w14:textId="77777777" w:rsidR="00D41B8C" w:rsidRPr="00D74C44" w:rsidRDefault="00D41B8C" w:rsidP="00D41B8C">
      <w:pPr>
        <w:jc w:val="both"/>
        <w:rPr>
          <w:sz w:val="22"/>
          <w:szCs w:val="22"/>
        </w:rPr>
      </w:pPr>
    </w:p>
    <w:tbl>
      <w:tblPr>
        <w:tblW w:w="0" w:type="auto"/>
        <w:tblCellSpacing w:w="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6790"/>
        <w:gridCol w:w="1196"/>
      </w:tblGrid>
      <w:tr w:rsidR="008E7E79" w:rsidRPr="00535A83" w14:paraId="66E3F87F" w14:textId="77777777" w:rsidTr="008E7E79">
        <w:trPr>
          <w:trHeight w:val="570"/>
          <w:tblHeader/>
          <w:tblCellSpacing w:w="15" w:type="dxa"/>
        </w:trPr>
        <w:tc>
          <w:tcPr>
            <w:tcW w:w="8690" w:type="dxa"/>
            <w:gridSpan w:val="3"/>
            <w:vAlign w:val="center"/>
          </w:tcPr>
          <w:p w14:paraId="4CF17A0C" w14:textId="73E03573" w:rsidR="008E7E79" w:rsidRPr="00535A83" w:rsidRDefault="006A3BF2" w:rsidP="00C327CF">
            <w:pPr>
              <w:jc w:val="center"/>
              <w:rPr>
                <w:b/>
                <w:bCs/>
                <w:color w:val="000000"/>
                <w:sz w:val="22"/>
                <w:szCs w:val="22"/>
                <w:lang w:eastAsia="en-GB"/>
              </w:rPr>
            </w:pPr>
            <w:r w:rsidRPr="00535A83">
              <w:rPr>
                <w:bCs/>
                <w:color w:val="000000"/>
                <w:sz w:val="24"/>
                <w:szCs w:val="24"/>
              </w:rPr>
              <w:t xml:space="preserve">Εργαστηριακά είδη για τις ανάγκες των ερευνητικών και εκπαιδευτικών δραστηριοτήτων της Επίκουρης Καθηγήτριας κ. </w:t>
            </w:r>
            <w:proofErr w:type="spellStart"/>
            <w:r w:rsidRPr="00535A83">
              <w:rPr>
                <w:bCs/>
                <w:color w:val="000000"/>
                <w:sz w:val="24"/>
                <w:szCs w:val="24"/>
              </w:rPr>
              <w:t>Ραυτογιάννη</w:t>
            </w:r>
            <w:proofErr w:type="spellEnd"/>
            <w:r w:rsidRPr="00535A83">
              <w:rPr>
                <w:bCs/>
                <w:color w:val="000000"/>
                <w:sz w:val="24"/>
                <w:szCs w:val="24"/>
              </w:rPr>
              <w:t xml:space="preserve"> Ανδρονίκης στο Εργαστήριο </w:t>
            </w:r>
            <w:proofErr w:type="spellStart"/>
            <w:r w:rsidRPr="00535A83">
              <w:rPr>
                <w:bCs/>
                <w:color w:val="000000"/>
                <w:sz w:val="24"/>
                <w:szCs w:val="24"/>
              </w:rPr>
              <w:t>νευροεπιστημών</w:t>
            </w:r>
            <w:proofErr w:type="spellEnd"/>
            <w:r w:rsidRPr="00535A83">
              <w:rPr>
                <w:bCs/>
                <w:color w:val="000000"/>
                <w:sz w:val="24"/>
                <w:szCs w:val="24"/>
              </w:rPr>
              <w:t xml:space="preserve"> της συμπεριφοράς</w:t>
            </w:r>
            <w:r w:rsidRPr="00535A83">
              <w:rPr>
                <w:b/>
                <w:bCs/>
                <w:sz w:val="24"/>
                <w:szCs w:val="24"/>
              </w:rPr>
              <w:t xml:space="preserve">, εγκεκριμένης προϋπολογισθείσας δαπάνης 757,52€ </w:t>
            </w:r>
            <w:proofErr w:type="spellStart"/>
            <w:r w:rsidRPr="00535A83">
              <w:rPr>
                <w:b/>
                <w:bCs/>
                <w:sz w:val="24"/>
                <w:szCs w:val="24"/>
              </w:rPr>
              <w:t>συμπ</w:t>
            </w:r>
            <w:proofErr w:type="spellEnd"/>
            <w:r w:rsidRPr="00535A83">
              <w:rPr>
                <w:b/>
                <w:bCs/>
                <w:sz w:val="24"/>
                <w:szCs w:val="24"/>
              </w:rPr>
              <w:t>/νου ΦΠΑ</w:t>
            </w:r>
          </w:p>
        </w:tc>
      </w:tr>
      <w:tr w:rsidR="00900F9A" w:rsidRPr="00535A83" w14:paraId="6A560471" w14:textId="77777777" w:rsidTr="00C327CF">
        <w:trPr>
          <w:trHeight w:val="570"/>
          <w:tblHeader/>
          <w:tblCellSpacing w:w="15" w:type="dxa"/>
        </w:trPr>
        <w:tc>
          <w:tcPr>
            <w:tcW w:w="719" w:type="dxa"/>
            <w:vAlign w:val="center"/>
          </w:tcPr>
          <w:p w14:paraId="19BC6BAA" w14:textId="77777777" w:rsidR="00900F9A" w:rsidRPr="00535A83" w:rsidRDefault="00900F9A" w:rsidP="00C327CF">
            <w:pPr>
              <w:jc w:val="center"/>
              <w:rPr>
                <w:b/>
                <w:bCs/>
                <w:color w:val="000000"/>
                <w:sz w:val="22"/>
                <w:szCs w:val="22"/>
                <w:lang w:eastAsia="en-GB"/>
              </w:rPr>
            </w:pPr>
            <w:r w:rsidRPr="00535A83">
              <w:rPr>
                <w:b/>
                <w:bCs/>
                <w:color w:val="000000"/>
                <w:sz w:val="22"/>
                <w:szCs w:val="22"/>
                <w:lang w:eastAsia="en-GB"/>
              </w:rPr>
              <w:t>α/α</w:t>
            </w:r>
          </w:p>
        </w:tc>
        <w:tc>
          <w:tcPr>
            <w:tcW w:w="6760" w:type="dxa"/>
            <w:tcMar>
              <w:top w:w="15" w:type="dxa"/>
              <w:left w:w="15" w:type="dxa"/>
              <w:bottom w:w="15" w:type="dxa"/>
              <w:right w:w="15" w:type="dxa"/>
            </w:tcMar>
            <w:vAlign w:val="center"/>
            <w:hideMark/>
          </w:tcPr>
          <w:p w14:paraId="6C7B0689" w14:textId="77777777" w:rsidR="00900F9A" w:rsidRPr="00535A83" w:rsidRDefault="00900F9A" w:rsidP="00C327CF">
            <w:pPr>
              <w:jc w:val="center"/>
              <w:rPr>
                <w:b/>
                <w:bCs/>
                <w:color w:val="000000"/>
                <w:sz w:val="22"/>
                <w:szCs w:val="22"/>
                <w:lang w:eastAsia="en-GB"/>
              </w:rPr>
            </w:pPr>
            <w:r w:rsidRPr="00535A83">
              <w:rPr>
                <w:b/>
                <w:bCs/>
                <w:color w:val="000000"/>
                <w:sz w:val="22"/>
                <w:szCs w:val="22"/>
                <w:lang w:eastAsia="en-GB"/>
              </w:rPr>
              <w:t>Είδος</w:t>
            </w:r>
          </w:p>
        </w:tc>
        <w:tc>
          <w:tcPr>
            <w:tcW w:w="1151" w:type="dxa"/>
            <w:tcMar>
              <w:top w:w="15" w:type="dxa"/>
              <w:left w:w="15" w:type="dxa"/>
              <w:bottom w:w="15" w:type="dxa"/>
              <w:right w:w="15" w:type="dxa"/>
            </w:tcMar>
            <w:vAlign w:val="center"/>
            <w:hideMark/>
          </w:tcPr>
          <w:p w14:paraId="46B6B54C" w14:textId="77777777" w:rsidR="00900F9A" w:rsidRPr="00535A83" w:rsidRDefault="00900F9A" w:rsidP="00C327CF">
            <w:pPr>
              <w:jc w:val="center"/>
              <w:rPr>
                <w:b/>
                <w:bCs/>
                <w:color w:val="000000"/>
                <w:sz w:val="22"/>
                <w:szCs w:val="22"/>
                <w:lang w:eastAsia="en-GB"/>
              </w:rPr>
            </w:pPr>
            <w:r w:rsidRPr="00535A83">
              <w:rPr>
                <w:b/>
                <w:bCs/>
                <w:color w:val="000000"/>
                <w:sz w:val="22"/>
                <w:szCs w:val="22"/>
                <w:lang w:eastAsia="en-GB"/>
              </w:rPr>
              <w:t>Ποσότητα</w:t>
            </w:r>
          </w:p>
        </w:tc>
      </w:tr>
      <w:tr w:rsidR="00900F9A" w:rsidRPr="00535A83" w14:paraId="6C0CA891" w14:textId="77777777" w:rsidTr="00C327CF">
        <w:trPr>
          <w:trHeight w:val="397"/>
          <w:tblCellSpacing w:w="15" w:type="dxa"/>
        </w:trPr>
        <w:tc>
          <w:tcPr>
            <w:tcW w:w="719" w:type="dxa"/>
            <w:vAlign w:val="center"/>
          </w:tcPr>
          <w:p w14:paraId="00F5491B" w14:textId="77777777" w:rsidR="00900F9A" w:rsidRPr="00535A83" w:rsidRDefault="00900F9A" w:rsidP="00C327CF">
            <w:pPr>
              <w:ind w:left="142"/>
              <w:jc w:val="center"/>
              <w:rPr>
                <w:color w:val="000000"/>
                <w:sz w:val="22"/>
                <w:szCs w:val="22"/>
                <w:lang w:eastAsia="en-GB"/>
              </w:rPr>
            </w:pPr>
            <w:r w:rsidRPr="00535A83">
              <w:rPr>
                <w:color w:val="000000"/>
                <w:sz w:val="22"/>
                <w:szCs w:val="22"/>
                <w:lang w:eastAsia="en-GB"/>
              </w:rPr>
              <w:t>1</w:t>
            </w:r>
          </w:p>
        </w:tc>
        <w:tc>
          <w:tcPr>
            <w:tcW w:w="6760" w:type="dxa"/>
            <w:tcMar>
              <w:top w:w="15" w:type="dxa"/>
              <w:left w:w="15" w:type="dxa"/>
              <w:bottom w:w="15" w:type="dxa"/>
              <w:right w:w="15" w:type="dxa"/>
            </w:tcMar>
            <w:vAlign w:val="center"/>
            <w:hideMark/>
          </w:tcPr>
          <w:p w14:paraId="5D02536B" w14:textId="7C85C734" w:rsidR="00900F9A" w:rsidRPr="00380AF7" w:rsidRDefault="00380AF7" w:rsidP="00C327CF">
            <w:pPr>
              <w:ind w:left="142"/>
              <w:rPr>
                <w:color w:val="000000"/>
                <w:sz w:val="22"/>
                <w:szCs w:val="22"/>
                <w:lang w:eastAsia="en-GB"/>
              </w:rPr>
            </w:pPr>
            <w:r>
              <w:rPr>
                <w:color w:val="000000"/>
                <w:sz w:val="22"/>
                <w:szCs w:val="22"/>
                <w:lang w:eastAsia="en-GB"/>
              </w:rPr>
              <w:t xml:space="preserve">Αυτόματη </w:t>
            </w:r>
            <w:proofErr w:type="spellStart"/>
            <w:r>
              <w:rPr>
                <w:color w:val="000000"/>
                <w:sz w:val="22"/>
                <w:szCs w:val="22"/>
                <w:lang w:eastAsia="en-GB"/>
              </w:rPr>
              <w:t>πιπέτα</w:t>
            </w:r>
            <w:proofErr w:type="spellEnd"/>
            <w:r>
              <w:rPr>
                <w:color w:val="000000"/>
                <w:sz w:val="22"/>
                <w:szCs w:val="22"/>
                <w:lang w:eastAsia="en-GB"/>
              </w:rPr>
              <w:t xml:space="preserve"> ρυθμιζόμενου όγκου 10-100μ</w:t>
            </w:r>
            <w:r>
              <w:rPr>
                <w:color w:val="000000"/>
                <w:sz w:val="22"/>
                <w:szCs w:val="22"/>
                <w:lang w:val="en-US" w:eastAsia="en-GB"/>
              </w:rPr>
              <w:t>l</w:t>
            </w:r>
          </w:p>
        </w:tc>
        <w:tc>
          <w:tcPr>
            <w:tcW w:w="1151" w:type="dxa"/>
            <w:tcMar>
              <w:top w:w="15" w:type="dxa"/>
              <w:left w:w="15" w:type="dxa"/>
              <w:bottom w:w="15" w:type="dxa"/>
              <w:right w:w="15" w:type="dxa"/>
            </w:tcMar>
            <w:vAlign w:val="center"/>
            <w:hideMark/>
          </w:tcPr>
          <w:p w14:paraId="3D471C12" w14:textId="060872AF" w:rsidR="00900F9A" w:rsidRPr="00535A83" w:rsidRDefault="00380AF7" w:rsidP="00C327CF">
            <w:pPr>
              <w:jc w:val="center"/>
              <w:rPr>
                <w:color w:val="000000"/>
                <w:sz w:val="22"/>
                <w:szCs w:val="22"/>
                <w:lang w:eastAsia="en-GB"/>
              </w:rPr>
            </w:pPr>
            <w:r>
              <w:rPr>
                <w:color w:val="000000"/>
                <w:sz w:val="22"/>
                <w:szCs w:val="22"/>
                <w:lang w:eastAsia="en-GB"/>
              </w:rPr>
              <w:t>1</w:t>
            </w:r>
          </w:p>
        </w:tc>
      </w:tr>
      <w:tr w:rsidR="00900F9A" w:rsidRPr="00535A83" w14:paraId="413AC3EC" w14:textId="77777777" w:rsidTr="00C327CF">
        <w:trPr>
          <w:trHeight w:val="397"/>
          <w:tblCellSpacing w:w="15" w:type="dxa"/>
        </w:trPr>
        <w:tc>
          <w:tcPr>
            <w:tcW w:w="719" w:type="dxa"/>
            <w:vAlign w:val="center"/>
          </w:tcPr>
          <w:p w14:paraId="3CABAE33" w14:textId="77777777" w:rsidR="00900F9A" w:rsidRPr="00535A83" w:rsidRDefault="00900F9A" w:rsidP="00C327CF">
            <w:pPr>
              <w:ind w:left="142"/>
              <w:jc w:val="center"/>
              <w:rPr>
                <w:color w:val="000000"/>
                <w:sz w:val="22"/>
                <w:szCs w:val="22"/>
                <w:lang w:eastAsia="en-GB"/>
              </w:rPr>
            </w:pPr>
            <w:r w:rsidRPr="00535A83">
              <w:rPr>
                <w:color w:val="000000"/>
                <w:sz w:val="22"/>
                <w:szCs w:val="22"/>
                <w:lang w:eastAsia="en-GB"/>
              </w:rPr>
              <w:t>2</w:t>
            </w:r>
          </w:p>
        </w:tc>
        <w:tc>
          <w:tcPr>
            <w:tcW w:w="6760" w:type="dxa"/>
            <w:tcMar>
              <w:top w:w="15" w:type="dxa"/>
              <w:left w:w="15" w:type="dxa"/>
              <w:bottom w:w="15" w:type="dxa"/>
              <w:right w:w="15" w:type="dxa"/>
            </w:tcMar>
            <w:vAlign w:val="center"/>
            <w:hideMark/>
          </w:tcPr>
          <w:p w14:paraId="2146A72E" w14:textId="6EA361A0" w:rsidR="00900F9A" w:rsidRPr="00535A83" w:rsidRDefault="00380AF7" w:rsidP="00C327CF">
            <w:pPr>
              <w:ind w:left="142"/>
              <w:rPr>
                <w:color w:val="000000"/>
                <w:sz w:val="22"/>
                <w:szCs w:val="22"/>
                <w:lang w:eastAsia="en-GB"/>
              </w:rPr>
            </w:pPr>
            <w:r>
              <w:rPr>
                <w:color w:val="000000"/>
                <w:sz w:val="22"/>
                <w:szCs w:val="22"/>
                <w:lang w:eastAsia="en-GB"/>
              </w:rPr>
              <w:t xml:space="preserve">Αυτόματη </w:t>
            </w:r>
            <w:proofErr w:type="spellStart"/>
            <w:r>
              <w:rPr>
                <w:color w:val="000000"/>
                <w:sz w:val="22"/>
                <w:szCs w:val="22"/>
                <w:lang w:eastAsia="en-GB"/>
              </w:rPr>
              <w:t>πιπέτα</w:t>
            </w:r>
            <w:proofErr w:type="spellEnd"/>
            <w:r>
              <w:rPr>
                <w:color w:val="000000"/>
                <w:sz w:val="22"/>
                <w:szCs w:val="22"/>
                <w:lang w:eastAsia="en-GB"/>
              </w:rPr>
              <w:t xml:space="preserve"> ρυθμιζόμενου όγκου 100-1000μ</w:t>
            </w:r>
            <w:r>
              <w:rPr>
                <w:color w:val="000000"/>
                <w:sz w:val="22"/>
                <w:szCs w:val="22"/>
                <w:lang w:val="en-US" w:eastAsia="en-GB"/>
              </w:rPr>
              <w:t>l</w:t>
            </w:r>
          </w:p>
        </w:tc>
        <w:tc>
          <w:tcPr>
            <w:tcW w:w="1151" w:type="dxa"/>
            <w:tcMar>
              <w:top w:w="15" w:type="dxa"/>
              <w:left w:w="15" w:type="dxa"/>
              <w:bottom w:w="15" w:type="dxa"/>
              <w:right w:w="15" w:type="dxa"/>
            </w:tcMar>
            <w:vAlign w:val="center"/>
            <w:hideMark/>
          </w:tcPr>
          <w:p w14:paraId="2E886295" w14:textId="1147735F" w:rsidR="00900F9A" w:rsidRPr="00380AF7" w:rsidRDefault="00380AF7" w:rsidP="00C327CF">
            <w:pPr>
              <w:jc w:val="center"/>
              <w:rPr>
                <w:color w:val="000000"/>
                <w:sz w:val="22"/>
                <w:szCs w:val="22"/>
                <w:lang w:val="en-US" w:eastAsia="en-GB"/>
              </w:rPr>
            </w:pPr>
            <w:r>
              <w:rPr>
                <w:color w:val="000000"/>
                <w:sz w:val="22"/>
                <w:szCs w:val="22"/>
                <w:lang w:val="en-US" w:eastAsia="en-GB"/>
              </w:rPr>
              <w:t>1</w:t>
            </w:r>
          </w:p>
        </w:tc>
      </w:tr>
      <w:tr w:rsidR="00900F9A" w:rsidRPr="00535A83" w14:paraId="34808457" w14:textId="77777777" w:rsidTr="00C327CF">
        <w:trPr>
          <w:trHeight w:val="397"/>
          <w:tblCellSpacing w:w="15" w:type="dxa"/>
        </w:trPr>
        <w:tc>
          <w:tcPr>
            <w:tcW w:w="719" w:type="dxa"/>
            <w:vAlign w:val="center"/>
          </w:tcPr>
          <w:p w14:paraId="6EEAAA1E" w14:textId="547AA02C" w:rsidR="00900F9A" w:rsidRPr="00380AF7" w:rsidRDefault="00380AF7" w:rsidP="00C327CF">
            <w:pPr>
              <w:ind w:left="142"/>
              <w:jc w:val="center"/>
              <w:rPr>
                <w:color w:val="000000"/>
                <w:sz w:val="22"/>
                <w:szCs w:val="22"/>
                <w:lang w:val="en-US" w:eastAsia="en-GB"/>
              </w:rPr>
            </w:pPr>
            <w:r>
              <w:rPr>
                <w:color w:val="000000"/>
                <w:sz w:val="22"/>
                <w:szCs w:val="22"/>
                <w:lang w:val="en-US" w:eastAsia="en-GB"/>
              </w:rPr>
              <w:t>3</w:t>
            </w:r>
          </w:p>
        </w:tc>
        <w:tc>
          <w:tcPr>
            <w:tcW w:w="6760" w:type="dxa"/>
            <w:tcMar>
              <w:top w:w="15" w:type="dxa"/>
              <w:left w:w="15" w:type="dxa"/>
              <w:bottom w:w="15" w:type="dxa"/>
              <w:right w:w="15" w:type="dxa"/>
            </w:tcMar>
            <w:vAlign w:val="center"/>
            <w:hideMark/>
          </w:tcPr>
          <w:p w14:paraId="3B8D3603" w14:textId="770F7123" w:rsidR="00900F9A" w:rsidRPr="00380AF7" w:rsidRDefault="00380AF7" w:rsidP="00C327CF">
            <w:pPr>
              <w:ind w:left="142"/>
              <w:rPr>
                <w:color w:val="000000"/>
                <w:sz w:val="22"/>
                <w:szCs w:val="22"/>
                <w:lang w:eastAsia="en-GB"/>
              </w:rPr>
            </w:pPr>
            <w:r>
              <w:rPr>
                <w:color w:val="000000"/>
                <w:sz w:val="22"/>
                <w:szCs w:val="22"/>
                <w:lang w:eastAsia="en-GB"/>
              </w:rPr>
              <w:t>Ρύγχη χωρίς φίλτρο όγκου 0,1-10μ</w:t>
            </w:r>
            <w:r>
              <w:rPr>
                <w:color w:val="000000"/>
                <w:sz w:val="22"/>
                <w:szCs w:val="22"/>
                <w:lang w:val="en-US" w:eastAsia="en-GB"/>
              </w:rPr>
              <w:t>l</w:t>
            </w:r>
          </w:p>
        </w:tc>
        <w:tc>
          <w:tcPr>
            <w:tcW w:w="1151" w:type="dxa"/>
            <w:tcMar>
              <w:top w:w="15" w:type="dxa"/>
              <w:left w:w="15" w:type="dxa"/>
              <w:bottom w:w="15" w:type="dxa"/>
              <w:right w:w="15" w:type="dxa"/>
            </w:tcMar>
            <w:vAlign w:val="center"/>
            <w:hideMark/>
          </w:tcPr>
          <w:p w14:paraId="335DE755" w14:textId="0FD7EC35" w:rsidR="00900F9A" w:rsidRPr="00380AF7" w:rsidRDefault="00380AF7" w:rsidP="00C327CF">
            <w:pPr>
              <w:jc w:val="center"/>
              <w:rPr>
                <w:color w:val="000000"/>
                <w:sz w:val="22"/>
                <w:szCs w:val="22"/>
                <w:lang w:val="en-US" w:eastAsia="en-GB"/>
              </w:rPr>
            </w:pPr>
            <w:r>
              <w:rPr>
                <w:color w:val="000000"/>
                <w:sz w:val="22"/>
                <w:szCs w:val="22"/>
                <w:lang w:val="en-US" w:eastAsia="en-GB"/>
              </w:rPr>
              <w:t>4</w:t>
            </w:r>
          </w:p>
        </w:tc>
      </w:tr>
      <w:tr w:rsidR="00900F9A" w:rsidRPr="00535A83" w14:paraId="6C6CAFD4" w14:textId="77777777" w:rsidTr="00C327CF">
        <w:trPr>
          <w:trHeight w:val="397"/>
          <w:tblCellSpacing w:w="15" w:type="dxa"/>
        </w:trPr>
        <w:tc>
          <w:tcPr>
            <w:tcW w:w="719" w:type="dxa"/>
            <w:vAlign w:val="center"/>
          </w:tcPr>
          <w:p w14:paraId="4161DCFD" w14:textId="2DD1B225" w:rsidR="00900F9A" w:rsidRPr="00380AF7" w:rsidRDefault="00380AF7" w:rsidP="00C327CF">
            <w:pPr>
              <w:ind w:left="142"/>
              <w:jc w:val="center"/>
              <w:rPr>
                <w:color w:val="000000"/>
                <w:sz w:val="22"/>
                <w:szCs w:val="22"/>
                <w:lang w:val="en-US" w:eastAsia="en-GB"/>
              </w:rPr>
            </w:pPr>
            <w:r>
              <w:rPr>
                <w:color w:val="000000"/>
                <w:sz w:val="22"/>
                <w:szCs w:val="22"/>
                <w:lang w:val="en-US" w:eastAsia="en-GB"/>
              </w:rPr>
              <w:t>4</w:t>
            </w:r>
          </w:p>
        </w:tc>
        <w:tc>
          <w:tcPr>
            <w:tcW w:w="6760" w:type="dxa"/>
            <w:tcMar>
              <w:top w:w="15" w:type="dxa"/>
              <w:left w:w="15" w:type="dxa"/>
              <w:bottom w:w="15" w:type="dxa"/>
              <w:right w:w="15" w:type="dxa"/>
            </w:tcMar>
            <w:vAlign w:val="center"/>
            <w:hideMark/>
          </w:tcPr>
          <w:p w14:paraId="6267B884" w14:textId="58F6BC88" w:rsidR="00900F9A" w:rsidRPr="00380AF7" w:rsidRDefault="00380AF7" w:rsidP="00C327CF">
            <w:pPr>
              <w:ind w:left="142"/>
              <w:rPr>
                <w:color w:val="000000"/>
                <w:sz w:val="22"/>
                <w:szCs w:val="22"/>
                <w:lang w:eastAsia="en-GB"/>
              </w:rPr>
            </w:pPr>
            <w:r>
              <w:rPr>
                <w:color w:val="000000"/>
                <w:sz w:val="22"/>
                <w:szCs w:val="22"/>
                <w:lang w:eastAsia="en-GB"/>
              </w:rPr>
              <w:t>Ρύγχη χωρίς φίλτρο όγκου 1-</w:t>
            </w:r>
            <w:r w:rsidRPr="00380AF7">
              <w:rPr>
                <w:color w:val="000000"/>
                <w:sz w:val="22"/>
                <w:szCs w:val="22"/>
                <w:lang w:eastAsia="en-GB"/>
              </w:rPr>
              <w:t>20</w:t>
            </w:r>
            <w:r>
              <w:rPr>
                <w:color w:val="000000"/>
                <w:sz w:val="22"/>
                <w:szCs w:val="22"/>
                <w:lang w:eastAsia="en-GB"/>
              </w:rPr>
              <w:t>0μ</w:t>
            </w:r>
            <w:r>
              <w:rPr>
                <w:color w:val="000000"/>
                <w:sz w:val="22"/>
                <w:szCs w:val="22"/>
                <w:lang w:val="en-US" w:eastAsia="en-GB"/>
              </w:rPr>
              <w:t>l</w:t>
            </w:r>
          </w:p>
        </w:tc>
        <w:tc>
          <w:tcPr>
            <w:tcW w:w="1151" w:type="dxa"/>
            <w:tcMar>
              <w:top w:w="15" w:type="dxa"/>
              <w:left w:w="15" w:type="dxa"/>
              <w:bottom w:w="15" w:type="dxa"/>
              <w:right w:w="15" w:type="dxa"/>
            </w:tcMar>
            <w:vAlign w:val="center"/>
            <w:hideMark/>
          </w:tcPr>
          <w:p w14:paraId="401E7B4B" w14:textId="726B1915" w:rsidR="00900F9A" w:rsidRPr="00380AF7" w:rsidRDefault="00380AF7" w:rsidP="00C327CF">
            <w:pPr>
              <w:jc w:val="center"/>
              <w:rPr>
                <w:color w:val="000000"/>
                <w:sz w:val="22"/>
                <w:szCs w:val="22"/>
                <w:lang w:val="en-US" w:eastAsia="en-GB"/>
              </w:rPr>
            </w:pPr>
            <w:r>
              <w:rPr>
                <w:color w:val="000000"/>
                <w:sz w:val="22"/>
                <w:szCs w:val="22"/>
                <w:lang w:val="en-US" w:eastAsia="en-GB"/>
              </w:rPr>
              <w:t>6</w:t>
            </w:r>
          </w:p>
        </w:tc>
      </w:tr>
      <w:tr w:rsidR="00900F9A" w:rsidRPr="00535A83" w14:paraId="04416DF6" w14:textId="77777777" w:rsidTr="00C327CF">
        <w:trPr>
          <w:trHeight w:val="397"/>
          <w:tblCellSpacing w:w="15" w:type="dxa"/>
        </w:trPr>
        <w:tc>
          <w:tcPr>
            <w:tcW w:w="719" w:type="dxa"/>
            <w:vAlign w:val="center"/>
          </w:tcPr>
          <w:p w14:paraId="20A25213" w14:textId="685A6C5B" w:rsidR="00900F9A" w:rsidRPr="00380AF7" w:rsidRDefault="00380AF7" w:rsidP="00C327CF">
            <w:pPr>
              <w:ind w:left="142"/>
              <w:jc w:val="center"/>
              <w:rPr>
                <w:color w:val="000000"/>
                <w:sz w:val="22"/>
                <w:szCs w:val="22"/>
                <w:lang w:val="en-US" w:eastAsia="en-GB"/>
              </w:rPr>
            </w:pPr>
            <w:r>
              <w:rPr>
                <w:color w:val="000000"/>
                <w:sz w:val="22"/>
                <w:szCs w:val="22"/>
                <w:lang w:val="en-US" w:eastAsia="en-GB"/>
              </w:rPr>
              <w:t>5</w:t>
            </w:r>
          </w:p>
        </w:tc>
        <w:tc>
          <w:tcPr>
            <w:tcW w:w="6760" w:type="dxa"/>
            <w:tcMar>
              <w:top w:w="15" w:type="dxa"/>
              <w:left w:w="15" w:type="dxa"/>
              <w:bottom w:w="15" w:type="dxa"/>
              <w:right w:w="15" w:type="dxa"/>
            </w:tcMar>
            <w:vAlign w:val="center"/>
            <w:hideMark/>
          </w:tcPr>
          <w:p w14:paraId="0E3378B3" w14:textId="7709BF92" w:rsidR="00900F9A" w:rsidRPr="00380AF7" w:rsidRDefault="00380AF7" w:rsidP="00C327CF">
            <w:pPr>
              <w:ind w:left="142"/>
              <w:rPr>
                <w:color w:val="000000"/>
                <w:sz w:val="22"/>
                <w:szCs w:val="22"/>
                <w:lang w:eastAsia="en-GB"/>
              </w:rPr>
            </w:pPr>
            <w:r>
              <w:rPr>
                <w:color w:val="000000"/>
                <w:sz w:val="22"/>
                <w:szCs w:val="22"/>
                <w:lang w:eastAsia="en-GB"/>
              </w:rPr>
              <w:t>Ρύγχη χωρίς φίλτρο όγκου 1</w:t>
            </w:r>
            <w:r w:rsidRPr="00380AF7">
              <w:rPr>
                <w:color w:val="000000"/>
                <w:sz w:val="22"/>
                <w:szCs w:val="22"/>
                <w:lang w:eastAsia="en-GB"/>
              </w:rPr>
              <w:t>00</w:t>
            </w:r>
            <w:r>
              <w:rPr>
                <w:color w:val="000000"/>
                <w:sz w:val="22"/>
                <w:szCs w:val="22"/>
                <w:lang w:eastAsia="en-GB"/>
              </w:rPr>
              <w:t>-</w:t>
            </w:r>
            <w:r w:rsidRPr="00380AF7">
              <w:rPr>
                <w:color w:val="000000"/>
                <w:sz w:val="22"/>
                <w:szCs w:val="22"/>
                <w:lang w:eastAsia="en-GB"/>
              </w:rPr>
              <w:t>10</w:t>
            </w:r>
            <w:r>
              <w:rPr>
                <w:color w:val="000000"/>
                <w:sz w:val="22"/>
                <w:szCs w:val="22"/>
                <w:lang w:eastAsia="en-GB"/>
              </w:rPr>
              <w:t>0</w:t>
            </w:r>
            <w:r w:rsidRPr="00380AF7">
              <w:rPr>
                <w:color w:val="000000"/>
                <w:sz w:val="22"/>
                <w:szCs w:val="22"/>
                <w:lang w:eastAsia="en-GB"/>
              </w:rPr>
              <w:t>0</w:t>
            </w:r>
            <w:r>
              <w:rPr>
                <w:color w:val="000000"/>
                <w:sz w:val="22"/>
                <w:szCs w:val="22"/>
                <w:lang w:eastAsia="en-GB"/>
              </w:rPr>
              <w:t>μ</w:t>
            </w:r>
            <w:r>
              <w:rPr>
                <w:color w:val="000000"/>
                <w:sz w:val="22"/>
                <w:szCs w:val="22"/>
                <w:lang w:val="en-US" w:eastAsia="en-GB"/>
              </w:rPr>
              <w:t>l</w:t>
            </w:r>
          </w:p>
        </w:tc>
        <w:tc>
          <w:tcPr>
            <w:tcW w:w="1151" w:type="dxa"/>
            <w:tcMar>
              <w:top w:w="15" w:type="dxa"/>
              <w:left w:w="15" w:type="dxa"/>
              <w:bottom w:w="15" w:type="dxa"/>
              <w:right w:w="15" w:type="dxa"/>
            </w:tcMar>
            <w:vAlign w:val="center"/>
            <w:hideMark/>
          </w:tcPr>
          <w:p w14:paraId="67AA1DAD" w14:textId="61FD272E" w:rsidR="00900F9A" w:rsidRPr="00380AF7" w:rsidRDefault="00380AF7" w:rsidP="00C327CF">
            <w:pPr>
              <w:jc w:val="center"/>
              <w:rPr>
                <w:color w:val="000000"/>
                <w:sz w:val="22"/>
                <w:szCs w:val="22"/>
                <w:lang w:val="en-US" w:eastAsia="en-GB"/>
              </w:rPr>
            </w:pPr>
            <w:r>
              <w:rPr>
                <w:color w:val="000000"/>
                <w:sz w:val="22"/>
                <w:szCs w:val="22"/>
                <w:lang w:val="en-US" w:eastAsia="en-GB"/>
              </w:rPr>
              <w:t>3</w:t>
            </w:r>
          </w:p>
        </w:tc>
      </w:tr>
    </w:tbl>
    <w:p w14:paraId="616810DA" w14:textId="77777777" w:rsidR="00D41B8C" w:rsidRDefault="00D41B8C" w:rsidP="00D41B8C">
      <w:pPr>
        <w:jc w:val="both"/>
        <w:rPr>
          <w:sz w:val="22"/>
          <w:szCs w:val="22"/>
        </w:rPr>
      </w:pPr>
    </w:p>
    <w:p w14:paraId="515D8F86" w14:textId="77777777" w:rsidR="00D74C44" w:rsidRDefault="00D74C44" w:rsidP="00D41B8C">
      <w:pPr>
        <w:jc w:val="both"/>
        <w:rPr>
          <w:sz w:val="22"/>
          <w:szCs w:val="22"/>
        </w:rPr>
      </w:pPr>
    </w:p>
    <w:p w14:paraId="168A3105" w14:textId="77777777" w:rsidR="00BC498F" w:rsidRDefault="00BC498F" w:rsidP="00D41B8C">
      <w:pPr>
        <w:jc w:val="both"/>
        <w:rPr>
          <w:sz w:val="22"/>
          <w:szCs w:val="22"/>
        </w:rPr>
      </w:pPr>
    </w:p>
    <w:p w14:paraId="35727227" w14:textId="77777777" w:rsidR="00BC498F" w:rsidRDefault="00BC498F" w:rsidP="00D41B8C">
      <w:pPr>
        <w:jc w:val="both"/>
        <w:rPr>
          <w:sz w:val="22"/>
          <w:szCs w:val="22"/>
        </w:rPr>
      </w:pPr>
    </w:p>
    <w:p w14:paraId="48E77E40" w14:textId="77777777" w:rsidR="0067562E" w:rsidRDefault="0067562E" w:rsidP="00D41B8C">
      <w:pPr>
        <w:jc w:val="both"/>
        <w:rPr>
          <w:sz w:val="22"/>
          <w:szCs w:val="22"/>
        </w:rPr>
      </w:pPr>
    </w:p>
    <w:p w14:paraId="7096EA13" w14:textId="77777777" w:rsidR="0067562E" w:rsidRDefault="0067562E" w:rsidP="00D41B8C">
      <w:pPr>
        <w:jc w:val="both"/>
        <w:rPr>
          <w:sz w:val="22"/>
          <w:szCs w:val="22"/>
        </w:rPr>
      </w:pPr>
    </w:p>
    <w:p w14:paraId="2EE707F9" w14:textId="77777777" w:rsidR="0067562E" w:rsidRDefault="0067562E" w:rsidP="00D41B8C">
      <w:pPr>
        <w:jc w:val="both"/>
        <w:rPr>
          <w:sz w:val="22"/>
          <w:szCs w:val="22"/>
        </w:rPr>
      </w:pPr>
    </w:p>
    <w:p w14:paraId="2A7B5848" w14:textId="77777777" w:rsidR="0067562E" w:rsidRDefault="0067562E" w:rsidP="00D41B8C">
      <w:pPr>
        <w:jc w:val="both"/>
        <w:rPr>
          <w:sz w:val="22"/>
          <w:szCs w:val="22"/>
        </w:rPr>
      </w:pPr>
    </w:p>
    <w:p w14:paraId="005692C7" w14:textId="438E26D2" w:rsidR="00D74C44" w:rsidRPr="00C907AF" w:rsidRDefault="00D74C44" w:rsidP="0067562E">
      <w:pPr>
        <w:spacing w:line="276" w:lineRule="auto"/>
        <w:jc w:val="both"/>
        <w:rPr>
          <w:b/>
          <w:bCs/>
          <w:iCs/>
          <w:color w:val="000000"/>
          <w:sz w:val="24"/>
          <w:szCs w:val="24"/>
        </w:rPr>
      </w:pPr>
    </w:p>
    <w:p w14:paraId="25FCA5D5" w14:textId="77777777" w:rsidR="00F96D2E" w:rsidRDefault="00F96D2E" w:rsidP="00F96D2E">
      <w:pPr>
        <w:spacing w:line="276" w:lineRule="auto"/>
        <w:jc w:val="both"/>
        <w:rPr>
          <w:bCs/>
          <w:iCs/>
          <w:color w:val="000000"/>
          <w:sz w:val="24"/>
          <w:szCs w:val="24"/>
        </w:rPr>
      </w:pPr>
    </w:p>
    <w:p w14:paraId="68729D31" w14:textId="77777777" w:rsidR="00F96D2E" w:rsidRDefault="00F96D2E" w:rsidP="00F96D2E">
      <w:pPr>
        <w:spacing w:line="276" w:lineRule="auto"/>
        <w:jc w:val="both"/>
        <w:rPr>
          <w:bCs/>
          <w:sz w:val="24"/>
          <w:szCs w:val="24"/>
        </w:rPr>
      </w:pPr>
    </w:p>
    <w:p w14:paraId="6666E730" w14:textId="77777777" w:rsidR="0067562E" w:rsidRDefault="0067562E" w:rsidP="0067562E">
      <w:pPr>
        <w:spacing w:line="276" w:lineRule="auto"/>
        <w:jc w:val="both"/>
        <w:rPr>
          <w:bCs/>
          <w:iCs/>
          <w:color w:val="000000"/>
          <w:sz w:val="24"/>
          <w:szCs w:val="24"/>
        </w:rPr>
      </w:pPr>
    </w:p>
    <w:p w14:paraId="072B75A6" w14:textId="77777777" w:rsidR="0067562E" w:rsidRDefault="0067562E" w:rsidP="0067562E">
      <w:pPr>
        <w:spacing w:line="276" w:lineRule="auto"/>
        <w:jc w:val="both"/>
        <w:rPr>
          <w:bCs/>
          <w:sz w:val="24"/>
          <w:szCs w:val="24"/>
        </w:rPr>
      </w:pPr>
    </w:p>
    <w:p w14:paraId="1D000134" w14:textId="7F687F8F" w:rsidR="00725553" w:rsidRPr="00725553" w:rsidRDefault="00725553" w:rsidP="006A3BF2">
      <w:pPr>
        <w:rPr>
          <w:sz w:val="24"/>
          <w:szCs w:val="24"/>
        </w:rPr>
      </w:pPr>
    </w:p>
    <w:p w14:paraId="1C463C6F" w14:textId="77777777" w:rsidR="00725553" w:rsidRPr="00725553" w:rsidRDefault="00725553" w:rsidP="00725553">
      <w:pPr>
        <w:rPr>
          <w:sz w:val="24"/>
          <w:szCs w:val="24"/>
        </w:rPr>
      </w:pPr>
    </w:p>
    <w:p w14:paraId="49849880" w14:textId="77777777" w:rsidR="00725553" w:rsidRPr="00725553" w:rsidRDefault="00725553" w:rsidP="00725553">
      <w:pPr>
        <w:rPr>
          <w:sz w:val="24"/>
          <w:szCs w:val="24"/>
        </w:rPr>
      </w:pPr>
    </w:p>
    <w:p w14:paraId="2E2BC695" w14:textId="63E9EF2F" w:rsidR="00725553" w:rsidRPr="00F96D2E" w:rsidRDefault="00725553" w:rsidP="00F96D2E">
      <w:pPr>
        <w:spacing w:line="276" w:lineRule="auto"/>
        <w:contextualSpacing/>
        <w:rPr>
          <w:sz w:val="24"/>
          <w:szCs w:val="24"/>
        </w:rPr>
      </w:pPr>
    </w:p>
    <w:p w14:paraId="0BF07191" w14:textId="77777777" w:rsidR="00725553" w:rsidRPr="00725553" w:rsidRDefault="00725553" w:rsidP="00725553">
      <w:pPr>
        <w:rPr>
          <w:sz w:val="24"/>
          <w:szCs w:val="24"/>
        </w:rPr>
      </w:pPr>
    </w:p>
    <w:p w14:paraId="60CDD631" w14:textId="77777777" w:rsidR="00725553" w:rsidRPr="00725553" w:rsidRDefault="00725553" w:rsidP="00725553">
      <w:pPr>
        <w:rPr>
          <w:sz w:val="24"/>
          <w:szCs w:val="24"/>
        </w:rPr>
      </w:pPr>
    </w:p>
    <w:p w14:paraId="539F03B8" w14:textId="77777777" w:rsidR="00725553" w:rsidRPr="006B460D" w:rsidRDefault="00725553" w:rsidP="00725553"/>
    <w:p w14:paraId="4136C7E7" w14:textId="77777777" w:rsidR="0067562E" w:rsidRDefault="0067562E" w:rsidP="0067562E">
      <w:pPr>
        <w:spacing w:line="276" w:lineRule="auto"/>
        <w:jc w:val="both"/>
        <w:rPr>
          <w:bCs/>
          <w:sz w:val="24"/>
          <w:szCs w:val="24"/>
        </w:rPr>
      </w:pPr>
    </w:p>
    <w:p w14:paraId="21E321F9" w14:textId="77777777" w:rsidR="0067562E" w:rsidRDefault="0067562E" w:rsidP="0067562E">
      <w:pPr>
        <w:spacing w:line="276" w:lineRule="auto"/>
        <w:jc w:val="both"/>
        <w:rPr>
          <w:bCs/>
          <w:sz w:val="24"/>
          <w:szCs w:val="24"/>
        </w:rPr>
      </w:pPr>
    </w:p>
    <w:p w14:paraId="0ADEBB2F" w14:textId="577BE34E" w:rsidR="0067562E" w:rsidRDefault="0067562E" w:rsidP="0067562E">
      <w:pPr>
        <w:spacing w:line="276" w:lineRule="auto"/>
        <w:jc w:val="center"/>
        <w:rPr>
          <w:b/>
          <w:sz w:val="24"/>
          <w:szCs w:val="24"/>
        </w:rPr>
      </w:pPr>
      <w:r w:rsidRPr="006261EB">
        <w:rPr>
          <w:b/>
          <w:sz w:val="24"/>
          <w:szCs w:val="24"/>
        </w:rPr>
        <w:t xml:space="preserve">ΠΑΡΑΡΤΗΜΑ </w:t>
      </w:r>
      <w:r>
        <w:rPr>
          <w:b/>
          <w:sz w:val="24"/>
          <w:szCs w:val="24"/>
        </w:rPr>
        <w:t xml:space="preserve"> Ι</w:t>
      </w:r>
      <w:r w:rsidR="0071769A">
        <w:rPr>
          <w:b/>
          <w:sz w:val="24"/>
          <w:szCs w:val="24"/>
        </w:rPr>
        <w:t>Ι</w:t>
      </w:r>
      <w:r>
        <w:rPr>
          <w:b/>
          <w:sz w:val="24"/>
          <w:szCs w:val="24"/>
        </w:rPr>
        <w:t xml:space="preserve"> – ΟΙΚΟΝΟΜΙΚΗ ΠΡΟΣΦΟΡΑ</w:t>
      </w:r>
    </w:p>
    <w:p w14:paraId="3318964F" w14:textId="77777777" w:rsidR="0067562E" w:rsidRDefault="0067562E" w:rsidP="0067562E">
      <w:pPr>
        <w:spacing w:line="276" w:lineRule="auto"/>
        <w:jc w:val="both"/>
        <w:rPr>
          <w:bCs/>
          <w:sz w:val="24"/>
          <w:szCs w:val="24"/>
        </w:rPr>
      </w:pPr>
    </w:p>
    <w:p w14:paraId="43EE54DE" w14:textId="4BD2172F" w:rsidR="0067562E" w:rsidRPr="0067562E" w:rsidRDefault="0067562E" w:rsidP="0067562E">
      <w:pPr>
        <w:spacing w:line="276" w:lineRule="auto"/>
        <w:jc w:val="both"/>
        <w:rPr>
          <w:b/>
          <w:sz w:val="28"/>
          <w:szCs w:val="28"/>
        </w:rPr>
      </w:pPr>
    </w:p>
    <w:tbl>
      <w:tblPr>
        <w:tblW w:w="996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3448"/>
        <w:gridCol w:w="1042"/>
        <w:gridCol w:w="1160"/>
        <w:gridCol w:w="1156"/>
        <w:gridCol w:w="779"/>
        <w:gridCol w:w="1650"/>
      </w:tblGrid>
      <w:tr w:rsidR="00535A83" w:rsidRPr="00D74C44" w14:paraId="1AE9190B" w14:textId="77777777" w:rsidTr="00535A83">
        <w:trPr>
          <w:trHeight w:val="570"/>
          <w:tblHeader/>
          <w:tblCellSpacing w:w="15" w:type="dxa"/>
          <w:jc w:val="center"/>
        </w:trPr>
        <w:tc>
          <w:tcPr>
            <w:tcW w:w="9907" w:type="dxa"/>
            <w:gridSpan w:val="7"/>
            <w:shd w:val="clear" w:color="auto" w:fill="DBE5F1" w:themeFill="accent1" w:themeFillTint="33"/>
            <w:vAlign w:val="center"/>
          </w:tcPr>
          <w:p w14:paraId="339FF790" w14:textId="55D056B1" w:rsidR="00535A83" w:rsidRDefault="00535A83" w:rsidP="006F607C">
            <w:pPr>
              <w:jc w:val="center"/>
              <w:rPr>
                <w:b/>
                <w:bCs/>
                <w:color w:val="000000"/>
                <w:sz w:val="22"/>
                <w:szCs w:val="22"/>
                <w:lang w:eastAsia="en-GB"/>
              </w:rPr>
            </w:pPr>
            <w:r w:rsidRPr="0071769A">
              <w:rPr>
                <w:b/>
                <w:sz w:val="24"/>
                <w:szCs w:val="24"/>
              </w:rPr>
              <w:t xml:space="preserve">ΟΜΑΔΑ 1 : </w:t>
            </w:r>
            <w:r w:rsidRPr="0071769A">
              <w:rPr>
                <w:bCs/>
                <w:color w:val="000000"/>
                <w:sz w:val="24"/>
                <w:szCs w:val="24"/>
              </w:rPr>
              <w:t>Εργαστηριακά είδη για τις ανάγκες των ερευνητικών και εκπαιδευτικών</w:t>
            </w:r>
            <w:r w:rsidRPr="00D74C44">
              <w:rPr>
                <w:bCs/>
                <w:color w:val="000000"/>
                <w:sz w:val="24"/>
                <w:szCs w:val="24"/>
              </w:rPr>
              <w:t xml:space="preserve"> δραστηριοτήτων της Επίκουρης Καθηγήτριας κ. </w:t>
            </w:r>
            <w:proofErr w:type="spellStart"/>
            <w:r w:rsidRPr="00D74C44">
              <w:rPr>
                <w:bCs/>
                <w:color w:val="000000"/>
                <w:sz w:val="24"/>
                <w:szCs w:val="24"/>
              </w:rPr>
              <w:t>Ραυτογιάννη</w:t>
            </w:r>
            <w:proofErr w:type="spellEnd"/>
            <w:r w:rsidRPr="00D74C44">
              <w:rPr>
                <w:bCs/>
                <w:color w:val="000000"/>
                <w:sz w:val="24"/>
                <w:szCs w:val="24"/>
              </w:rPr>
              <w:t xml:space="preserve"> Ανδρονίκης στο Εργαστήριο </w:t>
            </w:r>
            <w:proofErr w:type="spellStart"/>
            <w:r w:rsidRPr="00D74C44">
              <w:rPr>
                <w:bCs/>
                <w:color w:val="000000"/>
                <w:sz w:val="24"/>
                <w:szCs w:val="24"/>
              </w:rPr>
              <w:t>νευροεπιστημών</w:t>
            </w:r>
            <w:proofErr w:type="spellEnd"/>
            <w:r w:rsidRPr="00D74C44">
              <w:rPr>
                <w:bCs/>
                <w:color w:val="000000"/>
                <w:sz w:val="24"/>
                <w:szCs w:val="24"/>
              </w:rPr>
              <w:t xml:space="preserve"> της συμπεριφοράς</w:t>
            </w:r>
          </w:p>
        </w:tc>
      </w:tr>
      <w:tr w:rsidR="0067562E" w:rsidRPr="00D74C44" w14:paraId="3F4EDBF7" w14:textId="20995AFE" w:rsidTr="0067562E">
        <w:trPr>
          <w:trHeight w:val="570"/>
          <w:tblHeader/>
          <w:tblCellSpacing w:w="15" w:type="dxa"/>
          <w:jc w:val="center"/>
        </w:trPr>
        <w:tc>
          <w:tcPr>
            <w:tcW w:w="687" w:type="dxa"/>
            <w:shd w:val="clear" w:color="auto" w:fill="DBE5F1" w:themeFill="accent1" w:themeFillTint="33"/>
            <w:vAlign w:val="center"/>
          </w:tcPr>
          <w:p w14:paraId="39512480" w14:textId="77777777" w:rsidR="0067562E" w:rsidRPr="00D74C44" w:rsidRDefault="0067562E" w:rsidP="006F607C">
            <w:pPr>
              <w:jc w:val="center"/>
              <w:rPr>
                <w:b/>
                <w:bCs/>
                <w:color w:val="000000"/>
                <w:sz w:val="22"/>
                <w:szCs w:val="22"/>
                <w:lang w:eastAsia="en-GB"/>
              </w:rPr>
            </w:pPr>
            <w:bookmarkStart w:id="1" w:name="_Hlk211591521"/>
            <w:r w:rsidRPr="00D74C44">
              <w:rPr>
                <w:b/>
                <w:bCs/>
                <w:color w:val="000000"/>
                <w:sz w:val="22"/>
                <w:szCs w:val="22"/>
                <w:lang w:eastAsia="en-GB"/>
              </w:rPr>
              <w:t>α/α</w:t>
            </w:r>
          </w:p>
        </w:tc>
        <w:tc>
          <w:tcPr>
            <w:tcW w:w="3418" w:type="dxa"/>
            <w:shd w:val="clear" w:color="auto" w:fill="DBE5F1" w:themeFill="accent1" w:themeFillTint="33"/>
            <w:tcMar>
              <w:top w:w="15" w:type="dxa"/>
              <w:left w:w="15" w:type="dxa"/>
              <w:bottom w:w="15" w:type="dxa"/>
              <w:right w:w="15" w:type="dxa"/>
            </w:tcMar>
            <w:vAlign w:val="center"/>
            <w:hideMark/>
          </w:tcPr>
          <w:p w14:paraId="78F21C7C" w14:textId="77777777" w:rsidR="0067562E" w:rsidRPr="00D74C44" w:rsidRDefault="0067562E" w:rsidP="006F607C">
            <w:pPr>
              <w:jc w:val="center"/>
              <w:rPr>
                <w:b/>
                <w:bCs/>
                <w:color w:val="000000"/>
                <w:sz w:val="22"/>
                <w:szCs w:val="22"/>
                <w:lang w:eastAsia="en-GB"/>
              </w:rPr>
            </w:pPr>
            <w:r w:rsidRPr="00D74C44">
              <w:rPr>
                <w:b/>
                <w:bCs/>
                <w:color w:val="000000"/>
                <w:sz w:val="22"/>
                <w:szCs w:val="22"/>
                <w:lang w:eastAsia="en-GB"/>
              </w:rPr>
              <w:t>Είδος</w:t>
            </w:r>
          </w:p>
        </w:tc>
        <w:tc>
          <w:tcPr>
            <w:tcW w:w="1012" w:type="dxa"/>
            <w:shd w:val="clear" w:color="auto" w:fill="DBE5F1" w:themeFill="accent1" w:themeFillTint="33"/>
            <w:tcMar>
              <w:top w:w="15" w:type="dxa"/>
              <w:left w:w="15" w:type="dxa"/>
              <w:bottom w:w="15" w:type="dxa"/>
              <w:right w:w="15" w:type="dxa"/>
            </w:tcMar>
            <w:vAlign w:val="center"/>
            <w:hideMark/>
          </w:tcPr>
          <w:p w14:paraId="7B3BC704" w14:textId="77777777" w:rsidR="0067562E" w:rsidRPr="00D74C44" w:rsidRDefault="0067562E" w:rsidP="006F607C">
            <w:pPr>
              <w:jc w:val="center"/>
              <w:rPr>
                <w:b/>
                <w:bCs/>
                <w:color w:val="000000"/>
                <w:sz w:val="22"/>
                <w:szCs w:val="22"/>
                <w:lang w:eastAsia="en-GB"/>
              </w:rPr>
            </w:pPr>
            <w:r w:rsidRPr="00D74C44">
              <w:rPr>
                <w:b/>
                <w:bCs/>
                <w:color w:val="000000"/>
                <w:sz w:val="22"/>
                <w:szCs w:val="22"/>
                <w:lang w:eastAsia="en-GB"/>
              </w:rPr>
              <w:t>Ποσότητα</w:t>
            </w:r>
          </w:p>
        </w:tc>
        <w:tc>
          <w:tcPr>
            <w:tcW w:w="1130" w:type="dxa"/>
            <w:shd w:val="clear" w:color="auto" w:fill="DBE5F1" w:themeFill="accent1" w:themeFillTint="33"/>
            <w:vAlign w:val="center"/>
          </w:tcPr>
          <w:p w14:paraId="7C5DA2F7" w14:textId="03978E8B" w:rsidR="0067562E" w:rsidRPr="00D74C44" w:rsidRDefault="0067562E" w:rsidP="006F607C">
            <w:pPr>
              <w:jc w:val="center"/>
              <w:rPr>
                <w:b/>
                <w:bCs/>
                <w:color w:val="000000"/>
                <w:sz w:val="22"/>
                <w:szCs w:val="22"/>
                <w:lang w:eastAsia="en-GB"/>
              </w:rPr>
            </w:pPr>
            <w:r>
              <w:rPr>
                <w:b/>
                <w:bCs/>
                <w:color w:val="000000"/>
                <w:sz w:val="22"/>
                <w:szCs w:val="22"/>
                <w:lang w:eastAsia="en-GB"/>
              </w:rPr>
              <w:t xml:space="preserve">Τιμή ανά </w:t>
            </w:r>
            <w:proofErr w:type="spellStart"/>
            <w:r>
              <w:rPr>
                <w:b/>
                <w:bCs/>
                <w:color w:val="000000"/>
                <w:sz w:val="22"/>
                <w:szCs w:val="22"/>
                <w:lang w:eastAsia="en-GB"/>
              </w:rPr>
              <w:t>τεμ</w:t>
            </w:r>
            <w:proofErr w:type="spellEnd"/>
          </w:p>
        </w:tc>
        <w:tc>
          <w:tcPr>
            <w:tcW w:w="1126" w:type="dxa"/>
            <w:shd w:val="clear" w:color="auto" w:fill="DBE5F1" w:themeFill="accent1" w:themeFillTint="33"/>
            <w:vAlign w:val="center"/>
          </w:tcPr>
          <w:p w14:paraId="39FFE039" w14:textId="756CE48F" w:rsidR="0067562E" w:rsidRDefault="0067562E" w:rsidP="006F607C">
            <w:pPr>
              <w:jc w:val="center"/>
              <w:rPr>
                <w:b/>
                <w:bCs/>
                <w:color w:val="000000"/>
                <w:sz w:val="22"/>
                <w:szCs w:val="22"/>
                <w:lang w:eastAsia="en-GB"/>
              </w:rPr>
            </w:pPr>
            <w:r>
              <w:rPr>
                <w:b/>
                <w:bCs/>
                <w:color w:val="000000"/>
                <w:sz w:val="22"/>
                <w:szCs w:val="22"/>
                <w:lang w:eastAsia="en-GB"/>
              </w:rPr>
              <w:t xml:space="preserve">Συνολική </w:t>
            </w:r>
            <w:proofErr w:type="spellStart"/>
            <w:r>
              <w:rPr>
                <w:b/>
                <w:bCs/>
                <w:color w:val="000000"/>
                <w:sz w:val="22"/>
                <w:szCs w:val="22"/>
                <w:lang w:eastAsia="en-GB"/>
              </w:rPr>
              <w:t>προσφ</w:t>
            </w:r>
            <w:proofErr w:type="spellEnd"/>
            <w:r>
              <w:rPr>
                <w:b/>
                <w:bCs/>
                <w:color w:val="000000"/>
                <w:sz w:val="22"/>
                <w:szCs w:val="22"/>
                <w:lang w:eastAsia="en-GB"/>
              </w:rPr>
              <w:t xml:space="preserve"> τιμή χωρίς ΦΠΑ</w:t>
            </w:r>
          </w:p>
        </w:tc>
        <w:tc>
          <w:tcPr>
            <w:tcW w:w="749" w:type="dxa"/>
            <w:shd w:val="clear" w:color="auto" w:fill="DBE5F1" w:themeFill="accent1" w:themeFillTint="33"/>
            <w:vAlign w:val="center"/>
          </w:tcPr>
          <w:p w14:paraId="17C119FF" w14:textId="1BEDDE0E" w:rsidR="0067562E" w:rsidRDefault="0067562E" w:rsidP="006F607C">
            <w:pPr>
              <w:jc w:val="center"/>
              <w:rPr>
                <w:b/>
                <w:bCs/>
                <w:color w:val="000000"/>
                <w:sz w:val="22"/>
                <w:szCs w:val="22"/>
                <w:lang w:eastAsia="en-GB"/>
              </w:rPr>
            </w:pPr>
            <w:r>
              <w:rPr>
                <w:b/>
                <w:bCs/>
                <w:color w:val="000000"/>
                <w:sz w:val="22"/>
                <w:szCs w:val="22"/>
                <w:lang w:eastAsia="en-GB"/>
              </w:rPr>
              <w:t>ΦΠΑ</w:t>
            </w:r>
          </w:p>
        </w:tc>
        <w:tc>
          <w:tcPr>
            <w:tcW w:w="1605" w:type="dxa"/>
            <w:shd w:val="clear" w:color="auto" w:fill="DBE5F1" w:themeFill="accent1" w:themeFillTint="33"/>
            <w:vAlign w:val="center"/>
          </w:tcPr>
          <w:p w14:paraId="36447F0B" w14:textId="67DDB6B2" w:rsidR="0067562E" w:rsidRDefault="0067562E" w:rsidP="006F607C">
            <w:pPr>
              <w:jc w:val="center"/>
              <w:rPr>
                <w:b/>
                <w:bCs/>
                <w:color w:val="000000"/>
                <w:sz w:val="22"/>
                <w:szCs w:val="22"/>
                <w:lang w:eastAsia="en-GB"/>
              </w:rPr>
            </w:pPr>
            <w:r>
              <w:rPr>
                <w:b/>
                <w:bCs/>
                <w:color w:val="000000"/>
                <w:sz w:val="22"/>
                <w:szCs w:val="22"/>
                <w:lang w:eastAsia="en-GB"/>
              </w:rPr>
              <w:t>Συνολική προσφερόμενη τιμή</w:t>
            </w:r>
          </w:p>
        </w:tc>
      </w:tr>
      <w:tr w:rsidR="00380AF7" w:rsidRPr="00D74C44" w14:paraId="39274D41" w14:textId="7CCA8862" w:rsidTr="0067562E">
        <w:trPr>
          <w:trHeight w:val="397"/>
          <w:tblCellSpacing w:w="15" w:type="dxa"/>
          <w:jc w:val="center"/>
        </w:trPr>
        <w:tc>
          <w:tcPr>
            <w:tcW w:w="687" w:type="dxa"/>
            <w:vAlign w:val="center"/>
          </w:tcPr>
          <w:p w14:paraId="4F5961C7" w14:textId="77777777" w:rsidR="00380AF7" w:rsidRPr="00D74C44" w:rsidRDefault="00380AF7" w:rsidP="00380AF7">
            <w:pPr>
              <w:ind w:left="142"/>
              <w:jc w:val="center"/>
              <w:rPr>
                <w:color w:val="000000"/>
                <w:sz w:val="22"/>
                <w:szCs w:val="22"/>
                <w:lang w:eastAsia="en-GB"/>
              </w:rPr>
            </w:pPr>
            <w:r w:rsidRPr="00D74C44">
              <w:rPr>
                <w:color w:val="000000"/>
                <w:sz w:val="22"/>
                <w:szCs w:val="22"/>
                <w:lang w:eastAsia="en-GB"/>
              </w:rPr>
              <w:t>1</w:t>
            </w:r>
          </w:p>
        </w:tc>
        <w:tc>
          <w:tcPr>
            <w:tcW w:w="3418" w:type="dxa"/>
            <w:tcMar>
              <w:top w:w="15" w:type="dxa"/>
              <w:left w:w="15" w:type="dxa"/>
              <w:bottom w:w="15" w:type="dxa"/>
              <w:right w:w="15" w:type="dxa"/>
            </w:tcMar>
            <w:vAlign w:val="center"/>
            <w:hideMark/>
          </w:tcPr>
          <w:p w14:paraId="33090156" w14:textId="10B39016" w:rsidR="00380AF7" w:rsidRPr="00F236A2" w:rsidRDefault="00380AF7" w:rsidP="00380AF7">
            <w:pPr>
              <w:ind w:left="142"/>
              <w:rPr>
                <w:color w:val="000000"/>
                <w:sz w:val="22"/>
                <w:szCs w:val="22"/>
                <w:lang w:eastAsia="en-GB"/>
              </w:rPr>
            </w:pPr>
            <w:r>
              <w:rPr>
                <w:color w:val="000000"/>
                <w:sz w:val="22"/>
                <w:szCs w:val="22"/>
                <w:lang w:eastAsia="en-GB"/>
              </w:rPr>
              <w:t xml:space="preserve">Αυτόματη </w:t>
            </w:r>
            <w:proofErr w:type="spellStart"/>
            <w:r>
              <w:rPr>
                <w:color w:val="000000"/>
                <w:sz w:val="22"/>
                <w:szCs w:val="22"/>
                <w:lang w:eastAsia="en-GB"/>
              </w:rPr>
              <w:t>πιπέτα</w:t>
            </w:r>
            <w:proofErr w:type="spellEnd"/>
            <w:r>
              <w:rPr>
                <w:color w:val="000000"/>
                <w:sz w:val="22"/>
                <w:szCs w:val="22"/>
                <w:lang w:eastAsia="en-GB"/>
              </w:rPr>
              <w:t xml:space="preserve"> ρυθμιζόμενου όγκου 10-100μ</w:t>
            </w:r>
            <w:r>
              <w:rPr>
                <w:color w:val="000000"/>
                <w:sz w:val="22"/>
                <w:szCs w:val="22"/>
                <w:lang w:val="en-US" w:eastAsia="en-GB"/>
              </w:rPr>
              <w:t>l</w:t>
            </w:r>
          </w:p>
        </w:tc>
        <w:tc>
          <w:tcPr>
            <w:tcW w:w="1012" w:type="dxa"/>
            <w:tcMar>
              <w:top w:w="15" w:type="dxa"/>
              <w:left w:w="15" w:type="dxa"/>
              <w:bottom w:w="15" w:type="dxa"/>
              <w:right w:w="15" w:type="dxa"/>
            </w:tcMar>
            <w:vAlign w:val="center"/>
            <w:hideMark/>
          </w:tcPr>
          <w:p w14:paraId="7B85053F" w14:textId="6EDAD757" w:rsidR="00380AF7" w:rsidRPr="00D74C44" w:rsidRDefault="00380AF7" w:rsidP="00380AF7">
            <w:pPr>
              <w:jc w:val="center"/>
              <w:rPr>
                <w:color w:val="000000"/>
                <w:sz w:val="22"/>
                <w:szCs w:val="22"/>
                <w:lang w:eastAsia="en-GB"/>
              </w:rPr>
            </w:pPr>
            <w:r>
              <w:rPr>
                <w:color w:val="000000"/>
                <w:sz w:val="22"/>
                <w:szCs w:val="22"/>
                <w:lang w:eastAsia="en-GB"/>
              </w:rPr>
              <w:t>1</w:t>
            </w:r>
          </w:p>
        </w:tc>
        <w:tc>
          <w:tcPr>
            <w:tcW w:w="1130" w:type="dxa"/>
          </w:tcPr>
          <w:p w14:paraId="0A372AD1" w14:textId="77777777" w:rsidR="00380AF7" w:rsidRPr="00D74C44" w:rsidRDefault="00380AF7" w:rsidP="00380AF7">
            <w:pPr>
              <w:jc w:val="center"/>
              <w:rPr>
                <w:color w:val="000000"/>
                <w:sz w:val="22"/>
                <w:szCs w:val="22"/>
                <w:lang w:eastAsia="en-GB"/>
              </w:rPr>
            </w:pPr>
          </w:p>
        </w:tc>
        <w:tc>
          <w:tcPr>
            <w:tcW w:w="1126" w:type="dxa"/>
          </w:tcPr>
          <w:p w14:paraId="2F4E3452" w14:textId="77777777" w:rsidR="00380AF7" w:rsidRPr="00D74C44" w:rsidRDefault="00380AF7" w:rsidP="00380AF7">
            <w:pPr>
              <w:jc w:val="center"/>
              <w:rPr>
                <w:color w:val="000000"/>
                <w:sz w:val="22"/>
                <w:szCs w:val="22"/>
                <w:lang w:eastAsia="en-GB"/>
              </w:rPr>
            </w:pPr>
          </w:p>
        </w:tc>
        <w:tc>
          <w:tcPr>
            <w:tcW w:w="749" w:type="dxa"/>
          </w:tcPr>
          <w:p w14:paraId="6C4EBFD0" w14:textId="77777777" w:rsidR="00380AF7" w:rsidRPr="00D74C44" w:rsidRDefault="00380AF7" w:rsidP="00380AF7">
            <w:pPr>
              <w:jc w:val="center"/>
              <w:rPr>
                <w:color w:val="000000"/>
                <w:sz w:val="22"/>
                <w:szCs w:val="22"/>
                <w:lang w:eastAsia="en-GB"/>
              </w:rPr>
            </w:pPr>
          </w:p>
        </w:tc>
        <w:tc>
          <w:tcPr>
            <w:tcW w:w="1605" w:type="dxa"/>
          </w:tcPr>
          <w:p w14:paraId="00DF0B12" w14:textId="77777777" w:rsidR="00380AF7" w:rsidRPr="00D74C44" w:rsidRDefault="00380AF7" w:rsidP="00380AF7">
            <w:pPr>
              <w:jc w:val="center"/>
              <w:rPr>
                <w:color w:val="000000"/>
                <w:sz w:val="22"/>
                <w:szCs w:val="22"/>
                <w:lang w:eastAsia="en-GB"/>
              </w:rPr>
            </w:pPr>
          </w:p>
        </w:tc>
      </w:tr>
      <w:tr w:rsidR="00380AF7" w:rsidRPr="00D74C44" w14:paraId="66F5DE74" w14:textId="07B86192" w:rsidTr="0067562E">
        <w:trPr>
          <w:trHeight w:val="397"/>
          <w:tblCellSpacing w:w="15" w:type="dxa"/>
          <w:jc w:val="center"/>
        </w:trPr>
        <w:tc>
          <w:tcPr>
            <w:tcW w:w="687" w:type="dxa"/>
            <w:vAlign w:val="center"/>
          </w:tcPr>
          <w:p w14:paraId="33CB8AC2" w14:textId="77777777" w:rsidR="00380AF7" w:rsidRPr="00D74C44" w:rsidRDefault="00380AF7" w:rsidP="00380AF7">
            <w:pPr>
              <w:ind w:left="142"/>
              <w:jc w:val="center"/>
              <w:rPr>
                <w:color w:val="000000"/>
                <w:sz w:val="22"/>
                <w:szCs w:val="22"/>
                <w:lang w:eastAsia="en-GB"/>
              </w:rPr>
            </w:pPr>
            <w:r w:rsidRPr="00D74C44">
              <w:rPr>
                <w:color w:val="000000"/>
                <w:sz w:val="22"/>
                <w:szCs w:val="22"/>
                <w:lang w:eastAsia="en-GB"/>
              </w:rPr>
              <w:t>2</w:t>
            </w:r>
          </w:p>
        </w:tc>
        <w:tc>
          <w:tcPr>
            <w:tcW w:w="3418" w:type="dxa"/>
            <w:tcMar>
              <w:top w:w="15" w:type="dxa"/>
              <w:left w:w="15" w:type="dxa"/>
              <w:bottom w:w="15" w:type="dxa"/>
              <w:right w:w="15" w:type="dxa"/>
            </w:tcMar>
            <w:vAlign w:val="center"/>
            <w:hideMark/>
          </w:tcPr>
          <w:p w14:paraId="22970DA5" w14:textId="52152715" w:rsidR="00380AF7" w:rsidRPr="00F236A2" w:rsidRDefault="00380AF7" w:rsidP="00380AF7">
            <w:pPr>
              <w:ind w:left="142"/>
              <w:rPr>
                <w:color w:val="000000"/>
                <w:sz w:val="22"/>
                <w:szCs w:val="22"/>
                <w:lang w:eastAsia="en-GB"/>
              </w:rPr>
            </w:pPr>
            <w:r>
              <w:rPr>
                <w:color w:val="000000"/>
                <w:sz w:val="22"/>
                <w:szCs w:val="22"/>
                <w:lang w:eastAsia="en-GB"/>
              </w:rPr>
              <w:t xml:space="preserve">Αυτόματη </w:t>
            </w:r>
            <w:proofErr w:type="spellStart"/>
            <w:r>
              <w:rPr>
                <w:color w:val="000000"/>
                <w:sz w:val="22"/>
                <w:szCs w:val="22"/>
                <w:lang w:eastAsia="en-GB"/>
              </w:rPr>
              <w:t>πιπέτα</w:t>
            </w:r>
            <w:proofErr w:type="spellEnd"/>
            <w:r>
              <w:rPr>
                <w:color w:val="000000"/>
                <w:sz w:val="22"/>
                <w:szCs w:val="22"/>
                <w:lang w:eastAsia="en-GB"/>
              </w:rPr>
              <w:t xml:space="preserve"> ρυθμιζόμενου όγκου 100-1000μ</w:t>
            </w:r>
            <w:r>
              <w:rPr>
                <w:color w:val="000000"/>
                <w:sz w:val="22"/>
                <w:szCs w:val="22"/>
                <w:lang w:val="en-US" w:eastAsia="en-GB"/>
              </w:rPr>
              <w:t>l</w:t>
            </w:r>
          </w:p>
        </w:tc>
        <w:tc>
          <w:tcPr>
            <w:tcW w:w="1012" w:type="dxa"/>
            <w:tcMar>
              <w:top w:w="15" w:type="dxa"/>
              <w:left w:w="15" w:type="dxa"/>
              <w:bottom w:w="15" w:type="dxa"/>
              <w:right w:w="15" w:type="dxa"/>
            </w:tcMar>
            <w:vAlign w:val="center"/>
            <w:hideMark/>
          </w:tcPr>
          <w:p w14:paraId="17F32C44" w14:textId="7CFD836C" w:rsidR="00380AF7" w:rsidRPr="00D74C44" w:rsidRDefault="00380AF7" w:rsidP="00380AF7">
            <w:pPr>
              <w:jc w:val="center"/>
              <w:rPr>
                <w:color w:val="000000"/>
                <w:sz w:val="22"/>
                <w:szCs w:val="22"/>
                <w:lang w:eastAsia="en-GB"/>
              </w:rPr>
            </w:pPr>
            <w:r>
              <w:rPr>
                <w:color w:val="000000"/>
                <w:sz w:val="22"/>
                <w:szCs w:val="22"/>
                <w:lang w:val="en-US" w:eastAsia="en-GB"/>
              </w:rPr>
              <w:t>1</w:t>
            </w:r>
          </w:p>
        </w:tc>
        <w:tc>
          <w:tcPr>
            <w:tcW w:w="1130" w:type="dxa"/>
          </w:tcPr>
          <w:p w14:paraId="198B9C2F" w14:textId="77777777" w:rsidR="00380AF7" w:rsidRPr="00D74C44" w:rsidRDefault="00380AF7" w:rsidP="00380AF7">
            <w:pPr>
              <w:jc w:val="center"/>
              <w:rPr>
                <w:color w:val="000000"/>
                <w:sz w:val="22"/>
                <w:szCs w:val="22"/>
                <w:lang w:eastAsia="en-GB"/>
              </w:rPr>
            </w:pPr>
          </w:p>
        </w:tc>
        <w:tc>
          <w:tcPr>
            <w:tcW w:w="1126" w:type="dxa"/>
          </w:tcPr>
          <w:p w14:paraId="57F3834F" w14:textId="77777777" w:rsidR="00380AF7" w:rsidRPr="00D74C44" w:rsidRDefault="00380AF7" w:rsidP="00380AF7">
            <w:pPr>
              <w:jc w:val="center"/>
              <w:rPr>
                <w:color w:val="000000"/>
                <w:sz w:val="22"/>
                <w:szCs w:val="22"/>
                <w:lang w:eastAsia="en-GB"/>
              </w:rPr>
            </w:pPr>
          </w:p>
        </w:tc>
        <w:tc>
          <w:tcPr>
            <w:tcW w:w="749" w:type="dxa"/>
          </w:tcPr>
          <w:p w14:paraId="324FD657" w14:textId="77777777" w:rsidR="00380AF7" w:rsidRPr="00D74C44" w:rsidRDefault="00380AF7" w:rsidP="00380AF7">
            <w:pPr>
              <w:jc w:val="center"/>
              <w:rPr>
                <w:color w:val="000000"/>
                <w:sz w:val="22"/>
                <w:szCs w:val="22"/>
                <w:lang w:eastAsia="en-GB"/>
              </w:rPr>
            </w:pPr>
          </w:p>
        </w:tc>
        <w:tc>
          <w:tcPr>
            <w:tcW w:w="1605" w:type="dxa"/>
          </w:tcPr>
          <w:p w14:paraId="4783E213" w14:textId="77777777" w:rsidR="00380AF7" w:rsidRPr="00D74C44" w:rsidRDefault="00380AF7" w:rsidP="00380AF7">
            <w:pPr>
              <w:jc w:val="center"/>
              <w:rPr>
                <w:color w:val="000000"/>
                <w:sz w:val="22"/>
                <w:szCs w:val="22"/>
                <w:lang w:eastAsia="en-GB"/>
              </w:rPr>
            </w:pPr>
          </w:p>
        </w:tc>
      </w:tr>
      <w:tr w:rsidR="00380AF7" w:rsidRPr="00D74C44" w14:paraId="708F8860" w14:textId="2984D58C" w:rsidTr="0067562E">
        <w:trPr>
          <w:trHeight w:val="397"/>
          <w:tblCellSpacing w:w="15" w:type="dxa"/>
          <w:jc w:val="center"/>
        </w:trPr>
        <w:tc>
          <w:tcPr>
            <w:tcW w:w="687" w:type="dxa"/>
            <w:vAlign w:val="center"/>
          </w:tcPr>
          <w:p w14:paraId="0163F95D" w14:textId="77777777" w:rsidR="00380AF7" w:rsidRPr="00D74C44" w:rsidRDefault="00380AF7" w:rsidP="00380AF7">
            <w:pPr>
              <w:ind w:left="142"/>
              <w:jc w:val="center"/>
              <w:rPr>
                <w:color w:val="000000"/>
                <w:sz w:val="22"/>
                <w:szCs w:val="22"/>
                <w:lang w:eastAsia="en-GB"/>
              </w:rPr>
            </w:pPr>
            <w:r w:rsidRPr="00D74C44">
              <w:rPr>
                <w:color w:val="000000"/>
                <w:sz w:val="22"/>
                <w:szCs w:val="22"/>
                <w:lang w:eastAsia="en-GB"/>
              </w:rPr>
              <w:t>3</w:t>
            </w:r>
          </w:p>
        </w:tc>
        <w:tc>
          <w:tcPr>
            <w:tcW w:w="3418" w:type="dxa"/>
            <w:tcMar>
              <w:top w:w="15" w:type="dxa"/>
              <w:left w:w="15" w:type="dxa"/>
              <w:bottom w:w="15" w:type="dxa"/>
              <w:right w:w="15" w:type="dxa"/>
            </w:tcMar>
            <w:vAlign w:val="center"/>
            <w:hideMark/>
          </w:tcPr>
          <w:p w14:paraId="73620381" w14:textId="50FF04AE" w:rsidR="00380AF7" w:rsidRPr="00F236A2" w:rsidRDefault="00380AF7" w:rsidP="00380AF7">
            <w:pPr>
              <w:ind w:left="142"/>
              <w:rPr>
                <w:color w:val="000000"/>
                <w:sz w:val="22"/>
                <w:szCs w:val="22"/>
                <w:lang w:eastAsia="en-GB"/>
              </w:rPr>
            </w:pPr>
            <w:r>
              <w:rPr>
                <w:color w:val="000000"/>
                <w:sz w:val="22"/>
                <w:szCs w:val="22"/>
                <w:lang w:eastAsia="en-GB"/>
              </w:rPr>
              <w:t>Ρύγχη χωρίς φίλτρο όγκου 0,1-10μ</w:t>
            </w:r>
            <w:r>
              <w:rPr>
                <w:color w:val="000000"/>
                <w:sz w:val="22"/>
                <w:szCs w:val="22"/>
                <w:lang w:val="en-US" w:eastAsia="en-GB"/>
              </w:rPr>
              <w:t>l</w:t>
            </w:r>
          </w:p>
        </w:tc>
        <w:tc>
          <w:tcPr>
            <w:tcW w:w="1012" w:type="dxa"/>
            <w:tcMar>
              <w:top w:w="15" w:type="dxa"/>
              <w:left w:w="15" w:type="dxa"/>
              <w:bottom w:w="15" w:type="dxa"/>
              <w:right w:w="15" w:type="dxa"/>
            </w:tcMar>
            <w:vAlign w:val="center"/>
            <w:hideMark/>
          </w:tcPr>
          <w:p w14:paraId="122D57D7" w14:textId="1C82FF62" w:rsidR="00380AF7" w:rsidRPr="00D74C44" w:rsidRDefault="00380AF7" w:rsidP="00380AF7">
            <w:pPr>
              <w:jc w:val="center"/>
              <w:rPr>
                <w:color w:val="000000"/>
                <w:sz w:val="22"/>
                <w:szCs w:val="22"/>
                <w:lang w:eastAsia="en-GB"/>
              </w:rPr>
            </w:pPr>
            <w:r>
              <w:rPr>
                <w:color w:val="000000"/>
                <w:sz w:val="22"/>
                <w:szCs w:val="22"/>
                <w:lang w:val="en-US" w:eastAsia="en-GB"/>
              </w:rPr>
              <w:t>4</w:t>
            </w:r>
          </w:p>
        </w:tc>
        <w:tc>
          <w:tcPr>
            <w:tcW w:w="1130" w:type="dxa"/>
          </w:tcPr>
          <w:p w14:paraId="68C0AD0D" w14:textId="77777777" w:rsidR="00380AF7" w:rsidRPr="00D74C44" w:rsidRDefault="00380AF7" w:rsidP="00380AF7">
            <w:pPr>
              <w:jc w:val="center"/>
              <w:rPr>
                <w:color w:val="000000"/>
                <w:sz w:val="22"/>
                <w:szCs w:val="22"/>
                <w:lang w:eastAsia="en-GB"/>
              </w:rPr>
            </w:pPr>
          </w:p>
        </w:tc>
        <w:tc>
          <w:tcPr>
            <w:tcW w:w="1126" w:type="dxa"/>
          </w:tcPr>
          <w:p w14:paraId="3407BDEE" w14:textId="77777777" w:rsidR="00380AF7" w:rsidRPr="00D74C44" w:rsidRDefault="00380AF7" w:rsidP="00380AF7">
            <w:pPr>
              <w:jc w:val="center"/>
              <w:rPr>
                <w:color w:val="000000"/>
                <w:sz w:val="22"/>
                <w:szCs w:val="22"/>
                <w:lang w:eastAsia="en-GB"/>
              </w:rPr>
            </w:pPr>
          </w:p>
        </w:tc>
        <w:tc>
          <w:tcPr>
            <w:tcW w:w="749" w:type="dxa"/>
          </w:tcPr>
          <w:p w14:paraId="63832B03" w14:textId="77777777" w:rsidR="00380AF7" w:rsidRPr="00D74C44" w:rsidRDefault="00380AF7" w:rsidP="00380AF7">
            <w:pPr>
              <w:jc w:val="center"/>
              <w:rPr>
                <w:color w:val="000000"/>
                <w:sz w:val="22"/>
                <w:szCs w:val="22"/>
                <w:lang w:eastAsia="en-GB"/>
              </w:rPr>
            </w:pPr>
          </w:p>
        </w:tc>
        <w:tc>
          <w:tcPr>
            <w:tcW w:w="1605" w:type="dxa"/>
          </w:tcPr>
          <w:p w14:paraId="68012789" w14:textId="77777777" w:rsidR="00380AF7" w:rsidRPr="00D74C44" w:rsidRDefault="00380AF7" w:rsidP="00380AF7">
            <w:pPr>
              <w:jc w:val="center"/>
              <w:rPr>
                <w:color w:val="000000"/>
                <w:sz w:val="22"/>
                <w:szCs w:val="22"/>
                <w:lang w:eastAsia="en-GB"/>
              </w:rPr>
            </w:pPr>
          </w:p>
        </w:tc>
      </w:tr>
      <w:tr w:rsidR="00380AF7" w:rsidRPr="00D74C44" w14:paraId="556825FB" w14:textId="0F569E25" w:rsidTr="0067562E">
        <w:trPr>
          <w:trHeight w:val="397"/>
          <w:tblCellSpacing w:w="15" w:type="dxa"/>
          <w:jc w:val="center"/>
        </w:trPr>
        <w:tc>
          <w:tcPr>
            <w:tcW w:w="687" w:type="dxa"/>
            <w:vAlign w:val="center"/>
          </w:tcPr>
          <w:p w14:paraId="4D6FD0B2" w14:textId="77777777" w:rsidR="00380AF7" w:rsidRPr="00D74C44" w:rsidRDefault="00380AF7" w:rsidP="00380AF7">
            <w:pPr>
              <w:ind w:left="142"/>
              <w:jc w:val="center"/>
              <w:rPr>
                <w:color w:val="000000"/>
                <w:sz w:val="22"/>
                <w:szCs w:val="22"/>
                <w:lang w:eastAsia="en-GB"/>
              </w:rPr>
            </w:pPr>
            <w:r w:rsidRPr="00D74C44">
              <w:rPr>
                <w:color w:val="000000"/>
                <w:sz w:val="22"/>
                <w:szCs w:val="22"/>
                <w:lang w:eastAsia="en-GB"/>
              </w:rPr>
              <w:t>4</w:t>
            </w:r>
          </w:p>
        </w:tc>
        <w:tc>
          <w:tcPr>
            <w:tcW w:w="3418" w:type="dxa"/>
            <w:tcMar>
              <w:top w:w="15" w:type="dxa"/>
              <w:left w:w="15" w:type="dxa"/>
              <w:bottom w:w="15" w:type="dxa"/>
              <w:right w:w="15" w:type="dxa"/>
            </w:tcMar>
            <w:vAlign w:val="center"/>
            <w:hideMark/>
          </w:tcPr>
          <w:p w14:paraId="55A62663" w14:textId="630DAE2E" w:rsidR="00380AF7" w:rsidRPr="00F236A2" w:rsidRDefault="00380AF7" w:rsidP="00380AF7">
            <w:pPr>
              <w:ind w:left="142"/>
              <w:rPr>
                <w:color w:val="000000"/>
                <w:sz w:val="22"/>
                <w:szCs w:val="22"/>
                <w:lang w:eastAsia="en-GB"/>
              </w:rPr>
            </w:pPr>
            <w:r>
              <w:rPr>
                <w:color w:val="000000"/>
                <w:sz w:val="22"/>
                <w:szCs w:val="22"/>
                <w:lang w:eastAsia="en-GB"/>
              </w:rPr>
              <w:t>Ρύγχη χωρίς φίλτρο όγκου 1-</w:t>
            </w:r>
            <w:r w:rsidRPr="00380AF7">
              <w:rPr>
                <w:color w:val="000000"/>
                <w:sz w:val="22"/>
                <w:szCs w:val="22"/>
                <w:lang w:eastAsia="en-GB"/>
              </w:rPr>
              <w:t>20</w:t>
            </w:r>
            <w:r>
              <w:rPr>
                <w:color w:val="000000"/>
                <w:sz w:val="22"/>
                <w:szCs w:val="22"/>
                <w:lang w:eastAsia="en-GB"/>
              </w:rPr>
              <w:t>0μ</w:t>
            </w:r>
            <w:r>
              <w:rPr>
                <w:color w:val="000000"/>
                <w:sz w:val="22"/>
                <w:szCs w:val="22"/>
                <w:lang w:val="en-US" w:eastAsia="en-GB"/>
              </w:rPr>
              <w:t>l</w:t>
            </w:r>
          </w:p>
        </w:tc>
        <w:tc>
          <w:tcPr>
            <w:tcW w:w="1012" w:type="dxa"/>
            <w:tcMar>
              <w:top w:w="15" w:type="dxa"/>
              <w:left w:w="15" w:type="dxa"/>
              <w:bottom w:w="15" w:type="dxa"/>
              <w:right w:w="15" w:type="dxa"/>
            </w:tcMar>
            <w:vAlign w:val="center"/>
            <w:hideMark/>
          </w:tcPr>
          <w:p w14:paraId="621B891E" w14:textId="13871670" w:rsidR="00380AF7" w:rsidRPr="00D74C44" w:rsidRDefault="00380AF7" w:rsidP="00380AF7">
            <w:pPr>
              <w:jc w:val="center"/>
              <w:rPr>
                <w:color w:val="000000"/>
                <w:sz w:val="22"/>
                <w:szCs w:val="22"/>
                <w:lang w:eastAsia="en-GB"/>
              </w:rPr>
            </w:pPr>
            <w:r>
              <w:rPr>
                <w:color w:val="000000"/>
                <w:sz w:val="22"/>
                <w:szCs w:val="22"/>
                <w:lang w:val="en-US" w:eastAsia="en-GB"/>
              </w:rPr>
              <w:t>6</w:t>
            </w:r>
          </w:p>
        </w:tc>
        <w:tc>
          <w:tcPr>
            <w:tcW w:w="1130" w:type="dxa"/>
          </w:tcPr>
          <w:p w14:paraId="37F45708" w14:textId="77777777" w:rsidR="00380AF7" w:rsidRPr="00D74C44" w:rsidRDefault="00380AF7" w:rsidP="00380AF7">
            <w:pPr>
              <w:jc w:val="center"/>
              <w:rPr>
                <w:color w:val="000000"/>
                <w:sz w:val="22"/>
                <w:szCs w:val="22"/>
                <w:lang w:eastAsia="en-GB"/>
              </w:rPr>
            </w:pPr>
          </w:p>
        </w:tc>
        <w:tc>
          <w:tcPr>
            <w:tcW w:w="1126" w:type="dxa"/>
          </w:tcPr>
          <w:p w14:paraId="414627A8" w14:textId="77777777" w:rsidR="00380AF7" w:rsidRPr="00D74C44" w:rsidRDefault="00380AF7" w:rsidP="00380AF7">
            <w:pPr>
              <w:jc w:val="center"/>
              <w:rPr>
                <w:color w:val="000000"/>
                <w:sz w:val="22"/>
                <w:szCs w:val="22"/>
                <w:lang w:eastAsia="en-GB"/>
              </w:rPr>
            </w:pPr>
          </w:p>
        </w:tc>
        <w:tc>
          <w:tcPr>
            <w:tcW w:w="749" w:type="dxa"/>
          </w:tcPr>
          <w:p w14:paraId="77E325CA" w14:textId="77777777" w:rsidR="00380AF7" w:rsidRPr="00D74C44" w:rsidRDefault="00380AF7" w:rsidP="00380AF7">
            <w:pPr>
              <w:jc w:val="center"/>
              <w:rPr>
                <w:color w:val="000000"/>
                <w:sz w:val="22"/>
                <w:szCs w:val="22"/>
                <w:lang w:eastAsia="en-GB"/>
              </w:rPr>
            </w:pPr>
          </w:p>
        </w:tc>
        <w:tc>
          <w:tcPr>
            <w:tcW w:w="1605" w:type="dxa"/>
          </w:tcPr>
          <w:p w14:paraId="08FDB016" w14:textId="77777777" w:rsidR="00380AF7" w:rsidRPr="00D74C44" w:rsidRDefault="00380AF7" w:rsidP="00380AF7">
            <w:pPr>
              <w:jc w:val="center"/>
              <w:rPr>
                <w:color w:val="000000"/>
                <w:sz w:val="22"/>
                <w:szCs w:val="22"/>
                <w:lang w:eastAsia="en-GB"/>
              </w:rPr>
            </w:pPr>
          </w:p>
        </w:tc>
      </w:tr>
      <w:tr w:rsidR="00380AF7" w:rsidRPr="00D74C44" w14:paraId="65882B96" w14:textId="0758E9C7" w:rsidTr="0067562E">
        <w:trPr>
          <w:trHeight w:val="397"/>
          <w:tblCellSpacing w:w="15" w:type="dxa"/>
          <w:jc w:val="center"/>
        </w:trPr>
        <w:tc>
          <w:tcPr>
            <w:tcW w:w="687" w:type="dxa"/>
            <w:vAlign w:val="center"/>
          </w:tcPr>
          <w:p w14:paraId="1785DF1C" w14:textId="77777777" w:rsidR="00380AF7" w:rsidRPr="00D74C44" w:rsidRDefault="00380AF7" w:rsidP="00380AF7">
            <w:pPr>
              <w:ind w:left="142"/>
              <w:jc w:val="center"/>
              <w:rPr>
                <w:color w:val="000000"/>
                <w:sz w:val="22"/>
                <w:szCs w:val="22"/>
                <w:lang w:eastAsia="en-GB"/>
              </w:rPr>
            </w:pPr>
            <w:r w:rsidRPr="00D74C44">
              <w:rPr>
                <w:color w:val="000000"/>
                <w:sz w:val="22"/>
                <w:szCs w:val="22"/>
                <w:lang w:eastAsia="en-GB"/>
              </w:rPr>
              <w:t>5</w:t>
            </w:r>
          </w:p>
        </w:tc>
        <w:tc>
          <w:tcPr>
            <w:tcW w:w="3418" w:type="dxa"/>
            <w:tcMar>
              <w:top w:w="15" w:type="dxa"/>
              <w:left w:w="15" w:type="dxa"/>
              <w:bottom w:w="15" w:type="dxa"/>
              <w:right w:w="15" w:type="dxa"/>
            </w:tcMar>
            <w:vAlign w:val="center"/>
            <w:hideMark/>
          </w:tcPr>
          <w:p w14:paraId="05CCEF3F" w14:textId="4FA4CD3F" w:rsidR="00380AF7" w:rsidRPr="00F236A2" w:rsidRDefault="00380AF7" w:rsidP="00380AF7">
            <w:pPr>
              <w:ind w:left="142"/>
              <w:rPr>
                <w:color w:val="000000"/>
                <w:sz w:val="22"/>
                <w:szCs w:val="22"/>
                <w:lang w:eastAsia="en-GB"/>
              </w:rPr>
            </w:pPr>
            <w:r>
              <w:rPr>
                <w:color w:val="000000"/>
                <w:sz w:val="22"/>
                <w:szCs w:val="22"/>
                <w:lang w:eastAsia="en-GB"/>
              </w:rPr>
              <w:t>Ρύγχη χωρίς φίλτρο όγκου 1</w:t>
            </w:r>
            <w:r w:rsidRPr="00380AF7">
              <w:rPr>
                <w:color w:val="000000"/>
                <w:sz w:val="22"/>
                <w:szCs w:val="22"/>
                <w:lang w:eastAsia="en-GB"/>
              </w:rPr>
              <w:t>00</w:t>
            </w:r>
            <w:r>
              <w:rPr>
                <w:color w:val="000000"/>
                <w:sz w:val="22"/>
                <w:szCs w:val="22"/>
                <w:lang w:eastAsia="en-GB"/>
              </w:rPr>
              <w:t>-</w:t>
            </w:r>
            <w:r w:rsidRPr="00380AF7">
              <w:rPr>
                <w:color w:val="000000"/>
                <w:sz w:val="22"/>
                <w:szCs w:val="22"/>
                <w:lang w:eastAsia="en-GB"/>
              </w:rPr>
              <w:t>10</w:t>
            </w:r>
            <w:r>
              <w:rPr>
                <w:color w:val="000000"/>
                <w:sz w:val="22"/>
                <w:szCs w:val="22"/>
                <w:lang w:eastAsia="en-GB"/>
              </w:rPr>
              <w:t>0</w:t>
            </w:r>
            <w:r w:rsidRPr="00380AF7">
              <w:rPr>
                <w:color w:val="000000"/>
                <w:sz w:val="22"/>
                <w:szCs w:val="22"/>
                <w:lang w:eastAsia="en-GB"/>
              </w:rPr>
              <w:t>0</w:t>
            </w:r>
            <w:r>
              <w:rPr>
                <w:color w:val="000000"/>
                <w:sz w:val="22"/>
                <w:szCs w:val="22"/>
                <w:lang w:eastAsia="en-GB"/>
              </w:rPr>
              <w:t>μ</w:t>
            </w:r>
            <w:r>
              <w:rPr>
                <w:color w:val="000000"/>
                <w:sz w:val="22"/>
                <w:szCs w:val="22"/>
                <w:lang w:val="en-US" w:eastAsia="en-GB"/>
              </w:rPr>
              <w:t>l</w:t>
            </w:r>
          </w:p>
        </w:tc>
        <w:tc>
          <w:tcPr>
            <w:tcW w:w="1012" w:type="dxa"/>
            <w:tcMar>
              <w:top w:w="15" w:type="dxa"/>
              <w:left w:w="15" w:type="dxa"/>
              <w:bottom w:w="15" w:type="dxa"/>
              <w:right w:w="15" w:type="dxa"/>
            </w:tcMar>
            <w:vAlign w:val="center"/>
            <w:hideMark/>
          </w:tcPr>
          <w:p w14:paraId="2202EE99" w14:textId="6B62810E" w:rsidR="00380AF7" w:rsidRPr="00D74C44" w:rsidRDefault="00380AF7" w:rsidP="00380AF7">
            <w:pPr>
              <w:jc w:val="center"/>
              <w:rPr>
                <w:color w:val="000000"/>
                <w:sz w:val="22"/>
                <w:szCs w:val="22"/>
                <w:lang w:eastAsia="en-GB"/>
              </w:rPr>
            </w:pPr>
            <w:r>
              <w:rPr>
                <w:color w:val="000000"/>
                <w:sz w:val="22"/>
                <w:szCs w:val="22"/>
                <w:lang w:val="en-US" w:eastAsia="en-GB"/>
              </w:rPr>
              <w:t>3</w:t>
            </w:r>
          </w:p>
        </w:tc>
        <w:tc>
          <w:tcPr>
            <w:tcW w:w="1130" w:type="dxa"/>
          </w:tcPr>
          <w:p w14:paraId="41AED598" w14:textId="77777777" w:rsidR="00380AF7" w:rsidRPr="00D74C44" w:rsidRDefault="00380AF7" w:rsidP="00380AF7">
            <w:pPr>
              <w:jc w:val="center"/>
              <w:rPr>
                <w:color w:val="000000"/>
                <w:sz w:val="22"/>
                <w:szCs w:val="22"/>
                <w:lang w:eastAsia="en-GB"/>
              </w:rPr>
            </w:pPr>
          </w:p>
        </w:tc>
        <w:tc>
          <w:tcPr>
            <w:tcW w:w="1126" w:type="dxa"/>
          </w:tcPr>
          <w:p w14:paraId="3F7D384C" w14:textId="77777777" w:rsidR="00380AF7" w:rsidRPr="00D74C44" w:rsidRDefault="00380AF7" w:rsidP="00380AF7">
            <w:pPr>
              <w:jc w:val="center"/>
              <w:rPr>
                <w:color w:val="000000"/>
                <w:sz w:val="22"/>
                <w:szCs w:val="22"/>
                <w:lang w:eastAsia="en-GB"/>
              </w:rPr>
            </w:pPr>
          </w:p>
        </w:tc>
        <w:tc>
          <w:tcPr>
            <w:tcW w:w="749" w:type="dxa"/>
          </w:tcPr>
          <w:p w14:paraId="564678DB" w14:textId="77777777" w:rsidR="00380AF7" w:rsidRPr="00D74C44" w:rsidRDefault="00380AF7" w:rsidP="00380AF7">
            <w:pPr>
              <w:jc w:val="center"/>
              <w:rPr>
                <w:color w:val="000000"/>
                <w:sz w:val="22"/>
                <w:szCs w:val="22"/>
                <w:lang w:eastAsia="en-GB"/>
              </w:rPr>
            </w:pPr>
          </w:p>
        </w:tc>
        <w:tc>
          <w:tcPr>
            <w:tcW w:w="1605" w:type="dxa"/>
          </w:tcPr>
          <w:p w14:paraId="790D2A17" w14:textId="77777777" w:rsidR="00380AF7" w:rsidRPr="00D74C44" w:rsidRDefault="00380AF7" w:rsidP="00380AF7">
            <w:pPr>
              <w:jc w:val="center"/>
              <w:rPr>
                <w:color w:val="000000"/>
                <w:sz w:val="22"/>
                <w:szCs w:val="22"/>
                <w:lang w:eastAsia="en-GB"/>
              </w:rPr>
            </w:pPr>
          </w:p>
        </w:tc>
      </w:tr>
      <w:tr w:rsidR="0067562E" w:rsidRPr="00D74C44" w14:paraId="765C1979" w14:textId="77777777" w:rsidTr="0067562E">
        <w:trPr>
          <w:trHeight w:val="397"/>
          <w:tblCellSpacing w:w="15" w:type="dxa"/>
          <w:jc w:val="center"/>
        </w:trPr>
        <w:tc>
          <w:tcPr>
            <w:tcW w:w="8272" w:type="dxa"/>
            <w:gridSpan w:val="6"/>
            <w:shd w:val="clear" w:color="auto" w:fill="DBE5F1" w:themeFill="accent1" w:themeFillTint="33"/>
            <w:vAlign w:val="center"/>
          </w:tcPr>
          <w:p w14:paraId="4D1A9566" w14:textId="15682D9D" w:rsidR="0067562E" w:rsidRPr="00535A83" w:rsidRDefault="0067562E" w:rsidP="006F607C">
            <w:pPr>
              <w:jc w:val="center"/>
              <w:rPr>
                <w:b/>
                <w:bCs/>
                <w:color w:val="000000"/>
                <w:sz w:val="28"/>
                <w:szCs w:val="28"/>
                <w:lang w:eastAsia="en-GB"/>
              </w:rPr>
            </w:pPr>
            <w:r w:rsidRPr="00535A83">
              <w:rPr>
                <w:b/>
                <w:bCs/>
                <w:color w:val="000000"/>
                <w:sz w:val="28"/>
                <w:szCs w:val="28"/>
                <w:lang w:eastAsia="en-GB"/>
              </w:rPr>
              <w:t>Σύνολο</w:t>
            </w:r>
          </w:p>
        </w:tc>
        <w:tc>
          <w:tcPr>
            <w:tcW w:w="1605" w:type="dxa"/>
          </w:tcPr>
          <w:p w14:paraId="0FE2441F" w14:textId="77777777" w:rsidR="0067562E" w:rsidRPr="00D74C44" w:rsidRDefault="0067562E" w:rsidP="006F607C">
            <w:pPr>
              <w:jc w:val="center"/>
              <w:rPr>
                <w:color w:val="000000"/>
                <w:sz w:val="22"/>
                <w:szCs w:val="22"/>
                <w:lang w:eastAsia="en-GB"/>
              </w:rPr>
            </w:pPr>
          </w:p>
        </w:tc>
      </w:tr>
      <w:bookmarkEnd w:id="1"/>
    </w:tbl>
    <w:p w14:paraId="001062DC" w14:textId="77777777" w:rsidR="0067562E" w:rsidRDefault="0067562E" w:rsidP="0067562E">
      <w:pPr>
        <w:spacing w:line="276" w:lineRule="auto"/>
        <w:jc w:val="both"/>
        <w:rPr>
          <w:bCs/>
          <w:sz w:val="24"/>
          <w:szCs w:val="24"/>
        </w:rPr>
      </w:pPr>
    </w:p>
    <w:p w14:paraId="07BE373F" w14:textId="6A3D5E80" w:rsidR="0067562E" w:rsidRDefault="0067562E" w:rsidP="0067562E">
      <w:pPr>
        <w:spacing w:line="276" w:lineRule="auto"/>
        <w:jc w:val="both"/>
        <w:rPr>
          <w:bCs/>
          <w:sz w:val="24"/>
          <w:szCs w:val="24"/>
        </w:rPr>
      </w:pPr>
    </w:p>
    <w:p w14:paraId="4733C135" w14:textId="77777777" w:rsidR="0067562E" w:rsidRPr="005E6493" w:rsidRDefault="0067562E" w:rsidP="0067562E">
      <w:pPr>
        <w:spacing w:line="276" w:lineRule="auto"/>
        <w:jc w:val="both"/>
        <w:rPr>
          <w:bCs/>
          <w:sz w:val="24"/>
          <w:szCs w:val="24"/>
          <w:lang w:val="en-US"/>
        </w:rPr>
      </w:pPr>
    </w:p>
    <w:p w14:paraId="1C162CA0" w14:textId="5B8DBD5F" w:rsidR="0067562E" w:rsidRDefault="0067562E" w:rsidP="0067562E">
      <w:pPr>
        <w:spacing w:line="276" w:lineRule="auto"/>
        <w:jc w:val="both"/>
        <w:rPr>
          <w:b/>
          <w:sz w:val="28"/>
          <w:szCs w:val="28"/>
        </w:rPr>
      </w:pPr>
    </w:p>
    <w:p w14:paraId="2B734ED0" w14:textId="77777777" w:rsidR="0067562E" w:rsidRPr="0067562E" w:rsidRDefault="0067562E" w:rsidP="0067562E">
      <w:pPr>
        <w:spacing w:line="276" w:lineRule="auto"/>
        <w:jc w:val="both"/>
        <w:rPr>
          <w:b/>
          <w:sz w:val="28"/>
          <w:szCs w:val="28"/>
        </w:rPr>
      </w:pPr>
    </w:p>
    <w:sectPr w:rsidR="0067562E" w:rsidRPr="0067562E" w:rsidSect="005B4CF7">
      <w:footerReference w:type="default" r:id="rId10"/>
      <w:pgSz w:w="11906" w:h="16838"/>
      <w:pgMar w:top="1843"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182" w14:textId="77777777" w:rsidR="007C398B" w:rsidRDefault="007C398B" w:rsidP="004659C7">
      <w:r>
        <w:separator/>
      </w:r>
    </w:p>
  </w:endnote>
  <w:endnote w:type="continuationSeparator" w:id="0">
    <w:p w14:paraId="49E0B54C" w14:textId="77777777" w:rsidR="007C398B" w:rsidRDefault="007C398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D181" w14:textId="77777777" w:rsidR="007C398B" w:rsidRDefault="007C398B" w:rsidP="004659C7">
      <w:r>
        <w:separator/>
      </w:r>
    </w:p>
  </w:footnote>
  <w:footnote w:type="continuationSeparator" w:id="0">
    <w:p w14:paraId="57284720" w14:textId="77777777" w:rsidR="007C398B" w:rsidRDefault="007C398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3154053"/>
    <w:multiLevelType w:val="hybridMultilevel"/>
    <w:tmpl w:val="A26A6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D4F0946"/>
    <w:multiLevelType w:val="hybridMultilevel"/>
    <w:tmpl w:val="DC229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60013950">
    <w:abstractNumId w:val="1"/>
  </w:num>
  <w:num w:numId="2" w16cid:durableId="1325473656">
    <w:abstractNumId w:val="3"/>
  </w:num>
  <w:num w:numId="3" w16cid:durableId="5994834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3FE7"/>
    <w:rsid w:val="00014855"/>
    <w:rsid w:val="00020BDB"/>
    <w:rsid w:val="00023F09"/>
    <w:rsid w:val="00033E84"/>
    <w:rsid w:val="000356E7"/>
    <w:rsid w:val="000365CF"/>
    <w:rsid w:val="00045669"/>
    <w:rsid w:val="000460C0"/>
    <w:rsid w:val="00060389"/>
    <w:rsid w:val="00066D49"/>
    <w:rsid w:val="000726B7"/>
    <w:rsid w:val="00074132"/>
    <w:rsid w:val="000806BC"/>
    <w:rsid w:val="0008551C"/>
    <w:rsid w:val="000862C9"/>
    <w:rsid w:val="000936F8"/>
    <w:rsid w:val="00094B01"/>
    <w:rsid w:val="000969C2"/>
    <w:rsid w:val="000B281A"/>
    <w:rsid w:val="000B34A3"/>
    <w:rsid w:val="000B48D4"/>
    <w:rsid w:val="000C05A0"/>
    <w:rsid w:val="000C258C"/>
    <w:rsid w:val="000C7802"/>
    <w:rsid w:val="000D002E"/>
    <w:rsid w:val="000D0513"/>
    <w:rsid w:val="000D400C"/>
    <w:rsid w:val="000D4134"/>
    <w:rsid w:val="000D457C"/>
    <w:rsid w:val="000E4CDE"/>
    <w:rsid w:val="000E535D"/>
    <w:rsid w:val="000F1F69"/>
    <w:rsid w:val="000F29A7"/>
    <w:rsid w:val="000F3C40"/>
    <w:rsid w:val="001001B6"/>
    <w:rsid w:val="00100803"/>
    <w:rsid w:val="00100B13"/>
    <w:rsid w:val="00104DB1"/>
    <w:rsid w:val="0011181C"/>
    <w:rsid w:val="001124E9"/>
    <w:rsid w:val="00113951"/>
    <w:rsid w:val="0012592C"/>
    <w:rsid w:val="00126593"/>
    <w:rsid w:val="00127EE3"/>
    <w:rsid w:val="0013443B"/>
    <w:rsid w:val="00136310"/>
    <w:rsid w:val="00137411"/>
    <w:rsid w:val="00137F02"/>
    <w:rsid w:val="0014041A"/>
    <w:rsid w:val="00155282"/>
    <w:rsid w:val="001561CE"/>
    <w:rsid w:val="00161AE0"/>
    <w:rsid w:val="00164612"/>
    <w:rsid w:val="00165D22"/>
    <w:rsid w:val="00166197"/>
    <w:rsid w:val="001672B5"/>
    <w:rsid w:val="001702D3"/>
    <w:rsid w:val="00174301"/>
    <w:rsid w:val="00176258"/>
    <w:rsid w:val="0018197E"/>
    <w:rsid w:val="001851AB"/>
    <w:rsid w:val="00195E2B"/>
    <w:rsid w:val="001A0A16"/>
    <w:rsid w:val="001B101C"/>
    <w:rsid w:val="001B20A4"/>
    <w:rsid w:val="001B399E"/>
    <w:rsid w:val="001B5C1C"/>
    <w:rsid w:val="001B71D7"/>
    <w:rsid w:val="001B75C3"/>
    <w:rsid w:val="001C7230"/>
    <w:rsid w:val="001C7C25"/>
    <w:rsid w:val="001D2663"/>
    <w:rsid w:val="001D64CA"/>
    <w:rsid w:val="001D72E0"/>
    <w:rsid w:val="001E017C"/>
    <w:rsid w:val="001E194C"/>
    <w:rsid w:val="001E2C6A"/>
    <w:rsid w:val="001E41AA"/>
    <w:rsid w:val="001E59EF"/>
    <w:rsid w:val="001F040F"/>
    <w:rsid w:val="001F0E43"/>
    <w:rsid w:val="001F1566"/>
    <w:rsid w:val="001F1808"/>
    <w:rsid w:val="001F4455"/>
    <w:rsid w:val="00202047"/>
    <w:rsid w:val="00203140"/>
    <w:rsid w:val="002031A7"/>
    <w:rsid w:val="002036AD"/>
    <w:rsid w:val="0020416E"/>
    <w:rsid w:val="00205823"/>
    <w:rsid w:val="00205F17"/>
    <w:rsid w:val="00206758"/>
    <w:rsid w:val="002151E3"/>
    <w:rsid w:val="00215A70"/>
    <w:rsid w:val="002219B5"/>
    <w:rsid w:val="0022288B"/>
    <w:rsid w:val="00225F97"/>
    <w:rsid w:val="002328A3"/>
    <w:rsid w:val="00241A16"/>
    <w:rsid w:val="002540FD"/>
    <w:rsid w:val="002564A9"/>
    <w:rsid w:val="002617DC"/>
    <w:rsid w:val="00261D79"/>
    <w:rsid w:val="00262A1B"/>
    <w:rsid w:val="0026522A"/>
    <w:rsid w:val="00267EE8"/>
    <w:rsid w:val="00272518"/>
    <w:rsid w:val="00275DB4"/>
    <w:rsid w:val="002764D0"/>
    <w:rsid w:val="00280880"/>
    <w:rsid w:val="00284228"/>
    <w:rsid w:val="00286A54"/>
    <w:rsid w:val="00293791"/>
    <w:rsid w:val="0029504C"/>
    <w:rsid w:val="002A01B4"/>
    <w:rsid w:val="002A0742"/>
    <w:rsid w:val="002A2FF4"/>
    <w:rsid w:val="002A483D"/>
    <w:rsid w:val="002B06E9"/>
    <w:rsid w:val="002B0BEB"/>
    <w:rsid w:val="002B0D78"/>
    <w:rsid w:val="002B406B"/>
    <w:rsid w:val="002B4395"/>
    <w:rsid w:val="002B4D4E"/>
    <w:rsid w:val="002B571B"/>
    <w:rsid w:val="002B660B"/>
    <w:rsid w:val="002B7DEE"/>
    <w:rsid w:val="002C0758"/>
    <w:rsid w:val="002C7532"/>
    <w:rsid w:val="002C7D33"/>
    <w:rsid w:val="002D72E2"/>
    <w:rsid w:val="002E011F"/>
    <w:rsid w:val="002E486D"/>
    <w:rsid w:val="002E7CEA"/>
    <w:rsid w:val="002F1797"/>
    <w:rsid w:val="002F3C30"/>
    <w:rsid w:val="002F3E9A"/>
    <w:rsid w:val="002F5489"/>
    <w:rsid w:val="003038BC"/>
    <w:rsid w:val="00305619"/>
    <w:rsid w:val="00305E6D"/>
    <w:rsid w:val="003107C3"/>
    <w:rsid w:val="00311A06"/>
    <w:rsid w:val="0032192B"/>
    <w:rsid w:val="00322528"/>
    <w:rsid w:val="003247E0"/>
    <w:rsid w:val="003255C3"/>
    <w:rsid w:val="0033087F"/>
    <w:rsid w:val="00331E80"/>
    <w:rsid w:val="00334212"/>
    <w:rsid w:val="00336CAF"/>
    <w:rsid w:val="003472AE"/>
    <w:rsid w:val="00351B58"/>
    <w:rsid w:val="00353784"/>
    <w:rsid w:val="00366DAB"/>
    <w:rsid w:val="003671C2"/>
    <w:rsid w:val="003717F3"/>
    <w:rsid w:val="00380AF7"/>
    <w:rsid w:val="00381220"/>
    <w:rsid w:val="00381C65"/>
    <w:rsid w:val="003829DB"/>
    <w:rsid w:val="00382AAA"/>
    <w:rsid w:val="00386906"/>
    <w:rsid w:val="00391C14"/>
    <w:rsid w:val="0039204F"/>
    <w:rsid w:val="003922A7"/>
    <w:rsid w:val="00392696"/>
    <w:rsid w:val="00392CC2"/>
    <w:rsid w:val="003932F1"/>
    <w:rsid w:val="0039578C"/>
    <w:rsid w:val="00396A40"/>
    <w:rsid w:val="00397529"/>
    <w:rsid w:val="00397F30"/>
    <w:rsid w:val="003A058D"/>
    <w:rsid w:val="003A2031"/>
    <w:rsid w:val="003A46E9"/>
    <w:rsid w:val="003B1C59"/>
    <w:rsid w:val="003B3CAA"/>
    <w:rsid w:val="003B452F"/>
    <w:rsid w:val="003C15C0"/>
    <w:rsid w:val="003C1A90"/>
    <w:rsid w:val="003C1FF9"/>
    <w:rsid w:val="003C2962"/>
    <w:rsid w:val="003C5884"/>
    <w:rsid w:val="003D070A"/>
    <w:rsid w:val="003D08D0"/>
    <w:rsid w:val="003E0CA7"/>
    <w:rsid w:val="003E2B88"/>
    <w:rsid w:val="003E3DFE"/>
    <w:rsid w:val="003F2028"/>
    <w:rsid w:val="003F39A2"/>
    <w:rsid w:val="003F3A04"/>
    <w:rsid w:val="003F661F"/>
    <w:rsid w:val="003F6904"/>
    <w:rsid w:val="003F7CFB"/>
    <w:rsid w:val="00400FBF"/>
    <w:rsid w:val="00403D62"/>
    <w:rsid w:val="00404A0D"/>
    <w:rsid w:val="004057EE"/>
    <w:rsid w:val="004060F1"/>
    <w:rsid w:val="004105AA"/>
    <w:rsid w:val="00416ED2"/>
    <w:rsid w:val="00420F2B"/>
    <w:rsid w:val="00422C31"/>
    <w:rsid w:val="00424447"/>
    <w:rsid w:val="00425817"/>
    <w:rsid w:val="00425ED0"/>
    <w:rsid w:val="004313A5"/>
    <w:rsid w:val="00436AC9"/>
    <w:rsid w:val="00436FDE"/>
    <w:rsid w:val="00437C45"/>
    <w:rsid w:val="0044089C"/>
    <w:rsid w:val="00442480"/>
    <w:rsid w:val="0044630D"/>
    <w:rsid w:val="00447B07"/>
    <w:rsid w:val="004507DD"/>
    <w:rsid w:val="00452D6E"/>
    <w:rsid w:val="004542A9"/>
    <w:rsid w:val="0045495D"/>
    <w:rsid w:val="004550E7"/>
    <w:rsid w:val="00461FE1"/>
    <w:rsid w:val="004647FF"/>
    <w:rsid w:val="004659C7"/>
    <w:rsid w:val="00472F9C"/>
    <w:rsid w:val="00477C5D"/>
    <w:rsid w:val="0049083D"/>
    <w:rsid w:val="00490B3A"/>
    <w:rsid w:val="00491A3F"/>
    <w:rsid w:val="00496FFD"/>
    <w:rsid w:val="004A247E"/>
    <w:rsid w:val="004B2DB5"/>
    <w:rsid w:val="004B3831"/>
    <w:rsid w:val="004C0646"/>
    <w:rsid w:val="004C066C"/>
    <w:rsid w:val="004C1C13"/>
    <w:rsid w:val="004D0186"/>
    <w:rsid w:val="004D26B9"/>
    <w:rsid w:val="004D4B9C"/>
    <w:rsid w:val="004E76EE"/>
    <w:rsid w:val="004F1515"/>
    <w:rsid w:val="004F7017"/>
    <w:rsid w:val="00502004"/>
    <w:rsid w:val="00502B7E"/>
    <w:rsid w:val="005031EF"/>
    <w:rsid w:val="005037D1"/>
    <w:rsid w:val="0051033B"/>
    <w:rsid w:val="005119AA"/>
    <w:rsid w:val="00513AE6"/>
    <w:rsid w:val="00515959"/>
    <w:rsid w:val="00522582"/>
    <w:rsid w:val="005307E2"/>
    <w:rsid w:val="00534E13"/>
    <w:rsid w:val="00535A83"/>
    <w:rsid w:val="00540A74"/>
    <w:rsid w:val="005438FB"/>
    <w:rsid w:val="00547787"/>
    <w:rsid w:val="00551A4C"/>
    <w:rsid w:val="00555DDD"/>
    <w:rsid w:val="00556463"/>
    <w:rsid w:val="0056205A"/>
    <w:rsid w:val="00572115"/>
    <w:rsid w:val="005721ED"/>
    <w:rsid w:val="005744D8"/>
    <w:rsid w:val="00577E1A"/>
    <w:rsid w:val="00580D91"/>
    <w:rsid w:val="005833D9"/>
    <w:rsid w:val="00584AE8"/>
    <w:rsid w:val="00590E39"/>
    <w:rsid w:val="00591E69"/>
    <w:rsid w:val="005962DF"/>
    <w:rsid w:val="0059713D"/>
    <w:rsid w:val="005A0894"/>
    <w:rsid w:val="005A3421"/>
    <w:rsid w:val="005B4CF7"/>
    <w:rsid w:val="005C4519"/>
    <w:rsid w:val="005C5666"/>
    <w:rsid w:val="005D1422"/>
    <w:rsid w:val="005D1D19"/>
    <w:rsid w:val="005D70C1"/>
    <w:rsid w:val="005D7751"/>
    <w:rsid w:val="005E0D75"/>
    <w:rsid w:val="005E5C4F"/>
    <w:rsid w:val="005E6493"/>
    <w:rsid w:val="005F0CA7"/>
    <w:rsid w:val="005F4249"/>
    <w:rsid w:val="005F439D"/>
    <w:rsid w:val="005F5386"/>
    <w:rsid w:val="005F67DF"/>
    <w:rsid w:val="00605B05"/>
    <w:rsid w:val="006148A1"/>
    <w:rsid w:val="00615AFB"/>
    <w:rsid w:val="00620BC5"/>
    <w:rsid w:val="00621BED"/>
    <w:rsid w:val="00625C34"/>
    <w:rsid w:val="006261EB"/>
    <w:rsid w:val="00627B58"/>
    <w:rsid w:val="00634D49"/>
    <w:rsid w:val="0063683C"/>
    <w:rsid w:val="00644D8E"/>
    <w:rsid w:val="0065024E"/>
    <w:rsid w:val="00651017"/>
    <w:rsid w:val="006518D3"/>
    <w:rsid w:val="00655B13"/>
    <w:rsid w:val="006664B7"/>
    <w:rsid w:val="00667CBF"/>
    <w:rsid w:val="00670E65"/>
    <w:rsid w:val="00670EF6"/>
    <w:rsid w:val="0067238C"/>
    <w:rsid w:val="00673134"/>
    <w:rsid w:val="0067516E"/>
    <w:rsid w:val="0067562E"/>
    <w:rsid w:val="006845F1"/>
    <w:rsid w:val="006848BB"/>
    <w:rsid w:val="00690782"/>
    <w:rsid w:val="006908C0"/>
    <w:rsid w:val="006913A4"/>
    <w:rsid w:val="00697CFE"/>
    <w:rsid w:val="006A3588"/>
    <w:rsid w:val="006A3BF2"/>
    <w:rsid w:val="006A75F4"/>
    <w:rsid w:val="006B0B73"/>
    <w:rsid w:val="006B15D9"/>
    <w:rsid w:val="006B3504"/>
    <w:rsid w:val="006B548A"/>
    <w:rsid w:val="006C54BC"/>
    <w:rsid w:val="006C7CAF"/>
    <w:rsid w:val="006D31BC"/>
    <w:rsid w:val="006D78F3"/>
    <w:rsid w:val="006E2D9C"/>
    <w:rsid w:val="006E3820"/>
    <w:rsid w:val="006E4F05"/>
    <w:rsid w:val="006E6521"/>
    <w:rsid w:val="006F0B85"/>
    <w:rsid w:val="006F36B2"/>
    <w:rsid w:val="00701577"/>
    <w:rsid w:val="007148C4"/>
    <w:rsid w:val="0071769A"/>
    <w:rsid w:val="007211FE"/>
    <w:rsid w:val="00724220"/>
    <w:rsid w:val="00724819"/>
    <w:rsid w:val="00724E9D"/>
    <w:rsid w:val="00725553"/>
    <w:rsid w:val="00725B0D"/>
    <w:rsid w:val="00726CB1"/>
    <w:rsid w:val="00733CB3"/>
    <w:rsid w:val="00735F0D"/>
    <w:rsid w:val="007458C2"/>
    <w:rsid w:val="00756698"/>
    <w:rsid w:val="00765110"/>
    <w:rsid w:val="00773396"/>
    <w:rsid w:val="00773B0E"/>
    <w:rsid w:val="00774B4C"/>
    <w:rsid w:val="0077733D"/>
    <w:rsid w:val="00784DD8"/>
    <w:rsid w:val="00786DF6"/>
    <w:rsid w:val="0079050F"/>
    <w:rsid w:val="00791BA2"/>
    <w:rsid w:val="00792624"/>
    <w:rsid w:val="00792F3B"/>
    <w:rsid w:val="007940E1"/>
    <w:rsid w:val="00797CDB"/>
    <w:rsid w:val="00797F90"/>
    <w:rsid w:val="007A09A8"/>
    <w:rsid w:val="007A3142"/>
    <w:rsid w:val="007B1CAB"/>
    <w:rsid w:val="007B5937"/>
    <w:rsid w:val="007B6689"/>
    <w:rsid w:val="007B7564"/>
    <w:rsid w:val="007C3916"/>
    <w:rsid w:val="007C3962"/>
    <w:rsid w:val="007C398B"/>
    <w:rsid w:val="007D1696"/>
    <w:rsid w:val="007D493B"/>
    <w:rsid w:val="007D4B4C"/>
    <w:rsid w:val="007D5A62"/>
    <w:rsid w:val="007D69CE"/>
    <w:rsid w:val="007E145E"/>
    <w:rsid w:val="007E3C6B"/>
    <w:rsid w:val="007E6500"/>
    <w:rsid w:val="007E7668"/>
    <w:rsid w:val="007E76D6"/>
    <w:rsid w:val="007F611D"/>
    <w:rsid w:val="00804785"/>
    <w:rsid w:val="00804DCA"/>
    <w:rsid w:val="00805381"/>
    <w:rsid w:val="00807336"/>
    <w:rsid w:val="00807794"/>
    <w:rsid w:val="00814896"/>
    <w:rsid w:val="008174B6"/>
    <w:rsid w:val="00830714"/>
    <w:rsid w:val="00831AE8"/>
    <w:rsid w:val="00833FBC"/>
    <w:rsid w:val="008345EA"/>
    <w:rsid w:val="00841868"/>
    <w:rsid w:val="00844C33"/>
    <w:rsid w:val="00845B62"/>
    <w:rsid w:val="00846181"/>
    <w:rsid w:val="00846985"/>
    <w:rsid w:val="00850A17"/>
    <w:rsid w:val="008547C9"/>
    <w:rsid w:val="0085784A"/>
    <w:rsid w:val="00862C46"/>
    <w:rsid w:val="00865926"/>
    <w:rsid w:val="008678B2"/>
    <w:rsid w:val="00876681"/>
    <w:rsid w:val="00877445"/>
    <w:rsid w:val="00881BEE"/>
    <w:rsid w:val="008862C4"/>
    <w:rsid w:val="008929E5"/>
    <w:rsid w:val="00892F30"/>
    <w:rsid w:val="0089470B"/>
    <w:rsid w:val="00895E5D"/>
    <w:rsid w:val="008A1557"/>
    <w:rsid w:val="008B0E4D"/>
    <w:rsid w:val="008B526C"/>
    <w:rsid w:val="008C5509"/>
    <w:rsid w:val="008D63F1"/>
    <w:rsid w:val="008D6738"/>
    <w:rsid w:val="008E0B1F"/>
    <w:rsid w:val="008E7E79"/>
    <w:rsid w:val="008F2239"/>
    <w:rsid w:val="008F2B8D"/>
    <w:rsid w:val="008F6327"/>
    <w:rsid w:val="008F70B9"/>
    <w:rsid w:val="00900DE0"/>
    <w:rsid w:val="00900F5C"/>
    <w:rsid w:val="00900F9A"/>
    <w:rsid w:val="0090265C"/>
    <w:rsid w:val="00904381"/>
    <w:rsid w:val="00914C96"/>
    <w:rsid w:val="00917A4C"/>
    <w:rsid w:val="00927224"/>
    <w:rsid w:val="00934242"/>
    <w:rsid w:val="00941048"/>
    <w:rsid w:val="00941F5D"/>
    <w:rsid w:val="009439B7"/>
    <w:rsid w:val="0094431A"/>
    <w:rsid w:val="00945613"/>
    <w:rsid w:val="009468B2"/>
    <w:rsid w:val="00952CED"/>
    <w:rsid w:val="00955273"/>
    <w:rsid w:val="00956E2B"/>
    <w:rsid w:val="00970206"/>
    <w:rsid w:val="00971BAE"/>
    <w:rsid w:val="00971CF9"/>
    <w:rsid w:val="00982644"/>
    <w:rsid w:val="00983E60"/>
    <w:rsid w:val="00986344"/>
    <w:rsid w:val="009906A2"/>
    <w:rsid w:val="009964A8"/>
    <w:rsid w:val="009A4AB1"/>
    <w:rsid w:val="009A57E8"/>
    <w:rsid w:val="009B56C1"/>
    <w:rsid w:val="009B6787"/>
    <w:rsid w:val="009C4EEF"/>
    <w:rsid w:val="009D4DDE"/>
    <w:rsid w:val="009D61D4"/>
    <w:rsid w:val="009E063D"/>
    <w:rsid w:val="009E2A7B"/>
    <w:rsid w:val="009E48F4"/>
    <w:rsid w:val="009F4776"/>
    <w:rsid w:val="009F52A7"/>
    <w:rsid w:val="00A21BFD"/>
    <w:rsid w:val="00A224F0"/>
    <w:rsid w:val="00A2376E"/>
    <w:rsid w:val="00A26E6F"/>
    <w:rsid w:val="00A3262C"/>
    <w:rsid w:val="00A34C30"/>
    <w:rsid w:val="00A364F7"/>
    <w:rsid w:val="00A40655"/>
    <w:rsid w:val="00A42087"/>
    <w:rsid w:val="00A47B6E"/>
    <w:rsid w:val="00A505DD"/>
    <w:rsid w:val="00A52751"/>
    <w:rsid w:val="00A601D3"/>
    <w:rsid w:val="00A613FF"/>
    <w:rsid w:val="00A6446C"/>
    <w:rsid w:val="00A64D32"/>
    <w:rsid w:val="00A66075"/>
    <w:rsid w:val="00A667DA"/>
    <w:rsid w:val="00A66BCF"/>
    <w:rsid w:val="00A755A0"/>
    <w:rsid w:val="00A76147"/>
    <w:rsid w:val="00A942EA"/>
    <w:rsid w:val="00A944E1"/>
    <w:rsid w:val="00AA1839"/>
    <w:rsid w:val="00AA2C2D"/>
    <w:rsid w:val="00AA5631"/>
    <w:rsid w:val="00AB01AF"/>
    <w:rsid w:val="00AB25CC"/>
    <w:rsid w:val="00AB52D4"/>
    <w:rsid w:val="00AB5557"/>
    <w:rsid w:val="00AB5A80"/>
    <w:rsid w:val="00AB5CD1"/>
    <w:rsid w:val="00AB67A1"/>
    <w:rsid w:val="00AB7C99"/>
    <w:rsid w:val="00AB7E55"/>
    <w:rsid w:val="00AC4CA1"/>
    <w:rsid w:val="00AD0EFE"/>
    <w:rsid w:val="00AD1028"/>
    <w:rsid w:val="00AD2ACB"/>
    <w:rsid w:val="00AE0B38"/>
    <w:rsid w:val="00AE54D8"/>
    <w:rsid w:val="00AE6DA4"/>
    <w:rsid w:val="00AF4396"/>
    <w:rsid w:val="00AF4581"/>
    <w:rsid w:val="00B008FC"/>
    <w:rsid w:val="00B03831"/>
    <w:rsid w:val="00B042B2"/>
    <w:rsid w:val="00B07362"/>
    <w:rsid w:val="00B11383"/>
    <w:rsid w:val="00B200C7"/>
    <w:rsid w:val="00B214E2"/>
    <w:rsid w:val="00B24A3B"/>
    <w:rsid w:val="00B25330"/>
    <w:rsid w:val="00B310CE"/>
    <w:rsid w:val="00B32BF9"/>
    <w:rsid w:val="00B3461C"/>
    <w:rsid w:val="00B349F7"/>
    <w:rsid w:val="00B46EFD"/>
    <w:rsid w:val="00B50944"/>
    <w:rsid w:val="00B51F52"/>
    <w:rsid w:val="00B56235"/>
    <w:rsid w:val="00B5638B"/>
    <w:rsid w:val="00B56E0D"/>
    <w:rsid w:val="00B60391"/>
    <w:rsid w:val="00B613F7"/>
    <w:rsid w:val="00B73981"/>
    <w:rsid w:val="00B75F75"/>
    <w:rsid w:val="00B76432"/>
    <w:rsid w:val="00B852C1"/>
    <w:rsid w:val="00B85CF3"/>
    <w:rsid w:val="00B90610"/>
    <w:rsid w:val="00B93250"/>
    <w:rsid w:val="00B94B14"/>
    <w:rsid w:val="00B97101"/>
    <w:rsid w:val="00BA223E"/>
    <w:rsid w:val="00BA2452"/>
    <w:rsid w:val="00BA3677"/>
    <w:rsid w:val="00BA3FB1"/>
    <w:rsid w:val="00BA55AE"/>
    <w:rsid w:val="00BA645E"/>
    <w:rsid w:val="00BB12D2"/>
    <w:rsid w:val="00BC1E40"/>
    <w:rsid w:val="00BC2597"/>
    <w:rsid w:val="00BC320E"/>
    <w:rsid w:val="00BC45C4"/>
    <w:rsid w:val="00BC498F"/>
    <w:rsid w:val="00BC5437"/>
    <w:rsid w:val="00BD0BBE"/>
    <w:rsid w:val="00BD2BEF"/>
    <w:rsid w:val="00BE03F9"/>
    <w:rsid w:val="00BE7574"/>
    <w:rsid w:val="00BF3C55"/>
    <w:rsid w:val="00BF4B5F"/>
    <w:rsid w:val="00C103F6"/>
    <w:rsid w:val="00C1047A"/>
    <w:rsid w:val="00C151B3"/>
    <w:rsid w:val="00C15C97"/>
    <w:rsid w:val="00C17582"/>
    <w:rsid w:val="00C30755"/>
    <w:rsid w:val="00C34298"/>
    <w:rsid w:val="00C35006"/>
    <w:rsid w:val="00C36A9A"/>
    <w:rsid w:val="00C36C81"/>
    <w:rsid w:val="00C40C5F"/>
    <w:rsid w:val="00C41D66"/>
    <w:rsid w:val="00C45178"/>
    <w:rsid w:val="00C4580D"/>
    <w:rsid w:val="00C5374B"/>
    <w:rsid w:val="00C5448A"/>
    <w:rsid w:val="00C5502A"/>
    <w:rsid w:val="00C61875"/>
    <w:rsid w:val="00C62D9A"/>
    <w:rsid w:val="00C75B32"/>
    <w:rsid w:val="00C765A3"/>
    <w:rsid w:val="00C767CD"/>
    <w:rsid w:val="00C77610"/>
    <w:rsid w:val="00C77E78"/>
    <w:rsid w:val="00C80B13"/>
    <w:rsid w:val="00C832C8"/>
    <w:rsid w:val="00C8580D"/>
    <w:rsid w:val="00C85F30"/>
    <w:rsid w:val="00C8708B"/>
    <w:rsid w:val="00C907AF"/>
    <w:rsid w:val="00C91921"/>
    <w:rsid w:val="00C9579D"/>
    <w:rsid w:val="00C97652"/>
    <w:rsid w:val="00C9796C"/>
    <w:rsid w:val="00CA41DB"/>
    <w:rsid w:val="00CA6F3E"/>
    <w:rsid w:val="00CB309C"/>
    <w:rsid w:val="00CC0863"/>
    <w:rsid w:val="00CC0E3F"/>
    <w:rsid w:val="00CC16E6"/>
    <w:rsid w:val="00CC1F24"/>
    <w:rsid w:val="00CC1F3F"/>
    <w:rsid w:val="00CD04BB"/>
    <w:rsid w:val="00CD5146"/>
    <w:rsid w:val="00CE0345"/>
    <w:rsid w:val="00CE0B78"/>
    <w:rsid w:val="00CE3FA8"/>
    <w:rsid w:val="00CF2849"/>
    <w:rsid w:val="00CF34BC"/>
    <w:rsid w:val="00CF3710"/>
    <w:rsid w:val="00CF6644"/>
    <w:rsid w:val="00CF6839"/>
    <w:rsid w:val="00D015E5"/>
    <w:rsid w:val="00D02520"/>
    <w:rsid w:val="00D05157"/>
    <w:rsid w:val="00D1011A"/>
    <w:rsid w:val="00D11519"/>
    <w:rsid w:val="00D13F94"/>
    <w:rsid w:val="00D17A0A"/>
    <w:rsid w:val="00D20455"/>
    <w:rsid w:val="00D2509D"/>
    <w:rsid w:val="00D26517"/>
    <w:rsid w:val="00D36245"/>
    <w:rsid w:val="00D41B8C"/>
    <w:rsid w:val="00D43E58"/>
    <w:rsid w:val="00D46821"/>
    <w:rsid w:val="00D52E30"/>
    <w:rsid w:val="00D54DD5"/>
    <w:rsid w:val="00D64F56"/>
    <w:rsid w:val="00D65A06"/>
    <w:rsid w:val="00D74C44"/>
    <w:rsid w:val="00D80569"/>
    <w:rsid w:val="00D817E8"/>
    <w:rsid w:val="00D82D5E"/>
    <w:rsid w:val="00D911EA"/>
    <w:rsid w:val="00D922D8"/>
    <w:rsid w:val="00D96346"/>
    <w:rsid w:val="00D9681B"/>
    <w:rsid w:val="00DA3CD4"/>
    <w:rsid w:val="00DB17E4"/>
    <w:rsid w:val="00DB4A8F"/>
    <w:rsid w:val="00DB7935"/>
    <w:rsid w:val="00DC25E6"/>
    <w:rsid w:val="00DC3148"/>
    <w:rsid w:val="00DC49A0"/>
    <w:rsid w:val="00DD0B41"/>
    <w:rsid w:val="00DD1D2B"/>
    <w:rsid w:val="00DD5C14"/>
    <w:rsid w:val="00DD7196"/>
    <w:rsid w:val="00DE483C"/>
    <w:rsid w:val="00DF3D75"/>
    <w:rsid w:val="00DF3E5C"/>
    <w:rsid w:val="00DF7647"/>
    <w:rsid w:val="00E024C8"/>
    <w:rsid w:val="00E06AE5"/>
    <w:rsid w:val="00E07084"/>
    <w:rsid w:val="00E07712"/>
    <w:rsid w:val="00E15625"/>
    <w:rsid w:val="00E15BBF"/>
    <w:rsid w:val="00E200BD"/>
    <w:rsid w:val="00E21234"/>
    <w:rsid w:val="00E310AD"/>
    <w:rsid w:val="00E35451"/>
    <w:rsid w:val="00E37EFC"/>
    <w:rsid w:val="00E547D1"/>
    <w:rsid w:val="00E55200"/>
    <w:rsid w:val="00E62CD3"/>
    <w:rsid w:val="00E657B5"/>
    <w:rsid w:val="00E659FD"/>
    <w:rsid w:val="00E6725C"/>
    <w:rsid w:val="00E72288"/>
    <w:rsid w:val="00E7303F"/>
    <w:rsid w:val="00E75E74"/>
    <w:rsid w:val="00E75EA6"/>
    <w:rsid w:val="00E81CB6"/>
    <w:rsid w:val="00E8227C"/>
    <w:rsid w:val="00E874C2"/>
    <w:rsid w:val="00E914B9"/>
    <w:rsid w:val="00E9153D"/>
    <w:rsid w:val="00E928A8"/>
    <w:rsid w:val="00E953DC"/>
    <w:rsid w:val="00EA05B6"/>
    <w:rsid w:val="00EA6E7A"/>
    <w:rsid w:val="00EB19FE"/>
    <w:rsid w:val="00EB367D"/>
    <w:rsid w:val="00EC34D3"/>
    <w:rsid w:val="00EC460E"/>
    <w:rsid w:val="00EC4A74"/>
    <w:rsid w:val="00ED1B14"/>
    <w:rsid w:val="00ED4B36"/>
    <w:rsid w:val="00ED52D9"/>
    <w:rsid w:val="00ED6714"/>
    <w:rsid w:val="00EE0D1F"/>
    <w:rsid w:val="00EE3C30"/>
    <w:rsid w:val="00EE3DD8"/>
    <w:rsid w:val="00EE4067"/>
    <w:rsid w:val="00EE4076"/>
    <w:rsid w:val="00EE4905"/>
    <w:rsid w:val="00EE4FEB"/>
    <w:rsid w:val="00EF2FF5"/>
    <w:rsid w:val="00EF75D6"/>
    <w:rsid w:val="00F024B2"/>
    <w:rsid w:val="00F1443F"/>
    <w:rsid w:val="00F144EA"/>
    <w:rsid w:val="00F146B8"/>
    <w:rsid w:val="00F21650"/>
    <w:rsid w:val="00F236A2"/>
    <w:rsid w:val="00F25924"/>
    <w:rsid w:val="00F314EF"/>
    <w:rsid w:val="00F3520A"/>
    <w:rsid w:val="00F40F13"/>
    <w:rsid w:val="00F44F8E"/>
    <w:rsid w:val="00F45968"/>
    <w:rsid w:val="00F5049D"/>
    <w:rsid w:val="00F513DD"/>
    <w:rsid w:val="00F54336"/>
    <w:rsid w:val="00F562DA"/>
    <w:rsid w:val="00F566DA"/>
    <w:rsid w:val="00F572AA"/>
    <w:rsid w:val="00F57967"/>
    <w:rsid w:val="00F63462"/>
    <w:rsid w:val="00F6561F"/>
    <w:rsid w:val="00F6591A"/>
    <w:rsid w:val="00F66A09"/>
    <w:rsid w:val="00F715C1"/>
    <w:rsid w:val="00F7347D"/>
    <w:rsid w:val="00F75DAF"/>
    <w:rsid w:val="00F76DBB"/>
    <w:rsid w:val="00F77DA7"/>
    <w:rsid w:val="00F8176A"/>
    <w:rsid w:val="00F82CFD"/>
    <w:rsid w:val="00F8545C"/>
    <w:rsid w:val="00F86C8B"/>
    <w:rsid w:val="00F967C2"/>
    <w:rsid w:val="00F96D2E"/>
    <w:rsid w:val="00F96DBC"/>
    <w:rsid w:val="00FA1835"/>
    <w:rsid w:val="00FB0660"/>
    <w:rsid w:val="00FB4486"/>
    <w:rsid w:val="00FB6303"/>
    <w:rsid w:val="00FB7EBE"/>
    <w:rsid w:val="00FC1273"/>
    <w:rsid w:val="00FC3AD1"/>
    <w:rsid w:val="00FD05D8"/>
    <w:rsid w:val="00FD399E"/>
    <w:rsid w:val="00FD4A1C"/>
    <w:rsid w:val="00FD6564"/>
    <w:rsid w:val="00FE2DA7"/>
    <w:rsid w:val="00FE3D7D"/>
    <w:rsid w:val="00FE6097"/>
    <w:rsid w:val="00FF0196"/>
    <w:rsid w:val="00FF3232"/>
    <w:rsid w:val="00FF4209"/>
    <w:rsid w:val="00FF4764"/>
    <w:rsid w:val="00FF47EE"/>
    <w:rsid w:val="00FF54C0"/>
    <w:rsid w:val="00FF5DCB"/>
    <w:rsid w:val="00FF703F"/>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paragraph" w:customStyle="1" w:styleId="p1">
    <w:name w:val="p1"/>
    <w:basedOn w:val="a"/>
    <w:rsid w:val="006E3820"/>
    <w:rPr>
      <w:rFonts w:ascii=".AppleSystemUIFont" w:eastAsiaTheme="minorEastAsia" w:hAnsi=".AppleSystemUIFont"/>
      <w:sz w:val="26"/>
      <w:szCs w:val="26"/>
    </w:rPr>
  </w:style>
  <w:style w:type="character" w:customStyle="1" w:styleId="s1">
    <w:name w:val="s1"/>
    <w:basedOn w:val="a0"/>
    <w:rsid w:val="006E3820"/>
    <w:rPr>
      <w:rFonts w:ascii="UICTFontTextStyleBody" w:hAnsi="UICTFontTextStyleBody" w:hint="default"/>
      <w:b w:val="0"/>
      <w:bCs w:val="0"/>
      <w:i w:val="0"/>
      <w:iCs w:val="0"/>
      <w:sz w:val="26"/>
      <w:szCs w:val="26"/>
    </w:rPr>
  </w:style>
  <w:style w:type="paragraph" w:customStyle="1" w:styleId="TableParagraph">
    <w:name w:val="Table Paragraph"/>
    <w:basedOn w:val="a"/>
    <w:uiPriority w:val="1"/>
    <w:qFormat/>
    <w:rsid w:val="0067562E"/>
    <w:pPr>
      <w:widowControl w:val="0"/>
      <w:autoSpaceDE w:val="0"/>
      <w:autoSpaceDN w:val="0"/>
      <w:ind w:left="17"/>
      <w:jc w:val="center"/>
    </w:pPr>
    <w:rPr>
      <w:rFonts w:ascii="Calibri" w:eastAsia="Calibri" w:hAnsi="Calibri" w:cs="Calibri"/>
      <w:sz w:val="22"/>
      <w:szCs w:val="22"/>
      <w:lang w:eastAsia="en-US"/>
    </w:rPr>
  </w:style>
  <w:style w:type="character" w:styleId="ab">
    <w:name w:val="Strong"/>
    <w:basedOn w:val="a0"/>
    <w:uiPriority w:val="22"/>
    <w:qFormat/>
    <w:rsid w:val="00725553"/>
    <w:rPr>
      <w:b/>
      <w:bCs/>
    </w:rPr>
  </w:style>
  <w:style w:type="table" w:customStyle="1" w:styleId="10">
    <w:name w:val="Πλέγμα πίνακα1"/>
    <w:basedOn w:val="a1"/>
    <w:next w:val="a8"/>
    <w:rsid w:val="008E7E79"/>
    <w:pPr>
      <w:spacing w:after="160" w:line="259"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B2F8D-59EC-4886-9BB9-40888BF6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1737</Words>
  <Characters>11279</Characters>
  <Application>Microsoft Office Word</Application>
  <DocSecurity>0</DocSecurity>
  <Lines>93</Lines>
  <Paragraphs>25</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12991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20</cp:revision>
  <cp:lastPrinted>2025-11-18T07:52:00Z</cp:lastPrinted>
  <dcterms:created xsi:type="dcterms:W3CDTF">2025-11-18T07:28:00Z</dcterms:created>
  <dcterms:modified xsi:type="dcterms:W3CDTF">2025-11-21T11:22:00Z</dcterms:modified>
</cp:coreProperties>
</file>